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Settembre 2026  |  Privacy, GDPR e Strumenti AI</w:t>
      </w:r>
    </w:p>
    <w:p/>
    <w:p>
      <w:pPr>
        <w:spacing w:after="120"/>
        <w:jc w:val="left"/>
      </w:pPr>
      <w:r>
        <w:rPr>
          <w:rFonts w:ascii="Calibri" w:hAnsi="Calibri"/>
          <w:b/>
          <w:color w:val="1F497D"/>
          <w:sz w:val="48"/>
        </w:rPr>
        <w:t>Il documento che hai caricato su ChatGPT. Dove va, chi lo legge, cosa dice la legge.</w:t>
      </w:r>
    </w:p>
    <w:p>
      <w:pPr>
        <w:spacing w:after="200"/>
        <w:jc w:val="left"/>
      </w:pPr>
      <w:r>
        <w:rPr>
          <w:rFonts w:ascii="Calibri" w:hAnsi="Calibri"/>
          <w:i/>
          <w:color w:val="2E74B5"/>
          <w:sz w:val="26"/>
        </w:rPr>
        <w:t>Ogni prompt è un trasferimento di dati. Quando un professionista o un dipendente carica una fattura, un contratto o una busta paga su uno strumento AI consumer, non sta solo usando uno strumento: sta eseguendo un trattamento di dati personali. Le conseguenze sul piano GDPR sono concrete, spesso ignorate e difficili da sanare dopo il fatto.</w:t>
      </w:r>
    </w:p>
    <w:p>
      <w:pPr>
        <w:spacing w:after="40" w:before="40"/>
        <w:pBdr>
          <w:bottom w:val="single" w:sz="6" w:space="1" w:color="1F497D"/>
        </w:pBdr>
      </w:pPr>
    </w:p>
    <w:p>
      <w:pPr>
        <w:spacing w:after="320"/>
        <w:jc w:val="left"/>
      </w:pPr>
      <w:r>
        <w:rPr>
          <w:rFonts w:ascii="Calibri" w:hAnsi="Calibri"/>
          <w:color w:val="808080"/>
          <w:sz w:val="18"/>
        </w:rPr>
        <w:t>A cura della Redazione Ratio  •  18 settembre 2026</w:t>
      </w:r>
    </w:p>
    <w:p>
      <w:pPr>
        <w:spacing w:after="160" w:line="320" w:lineRule="exact"/>
        <w:jc w:val="both"/>
      </w:pPr>
      <w:r>
        <w:rPr>
          <w:rFonts w:ascii="Calibri" w:hAnsi="Calibri"/>
          <w:sz w:val="22"/>
        </w:rPr>
        <w:t>Uno studio professionale riceve un contratto di fornitura da revisionare per un cliente. Il collaboratore apre ChatGPT, copia il testo nel campo del prompt e chiede un'analisi delle clausole più critiche. L'operazione dura trenta secondi e produce un output utile. Ciò che non si vede dura molto di più: il testo del contratto, con i dati del cliente, della controparte, i termini economici, le condizioni riservate, è stato trasmesso ai server di OpenAI negli Stati Uniti senza che esista un contratto di trattamento dati ai sensi dell'articolo 28 del GDPR, senza che il cliente sia stato informato, e su un piano di abbonamento che per impostazione predefinita usa gli input degli utenti per addestrare i modelli futuri. Questo non è un caso di scuola. Avviene ogni giorno in studi professionali e uffici aziendali di tutta Italia.</w:t>
      </w:r>
    </w:p>
    <w:p>
      <w:pPr>
        <w:spacing w:after="160" w:line="320" w:lineRule="exact"/>
        <w:jc w:val="both"/>
      </w:pPr>
      <w:r>
        <w:rPr>
          <w:rFonts w:ascii="Calibri" w:hAnsi="Calibri"/>
          <w:sz w:val="22"/>
        </w:rPr>
        <w:t>Il nodo giuridico è netto. La lavorazione di informazioni tramite prompt, quando queste informazioni contengono dati di persone fisiche identificabili, costituisce un trattamento di dati personali ai sensi dell'articolo 4 del GDPR. Il titolare del trattamento è l'impresa o lo studio che usa lo strumento, non il fornitore della piattaforma AI. Se il trattamento coinvolge un fornitore esterno che elabora dati per conto del titolare, si applica l'obbligo di stipulare un Data Processing Agreement conforme all'articolo 28, che disciplini finalità, modalità, misure di sicurezza, trasferimenti extra-UE e obblighi del responsabile. La maggior parte dei piani consumer dei principali strumenti AI — ChatGPT Plus, Microsoft Copilot personale, Claude.ai standard — non fornisce questi accordi contrattuali per impostazione predefinita.</w:t>
      </w:r>
    </w:p>
    <w:p>
      <w:pPr>
        <w:spacing w:before="280" w:after="120"/>
      </w:pPr>
      <w:r>
        <w:rPr>
          <w:rFonts w:ascii="Calibri" w:hAnsi="Calibri"/>
          <w:b/>
          <w:color w:val="1F497D"/>
          <w:sz w:val="24"/>
        </w:rPr>
        <w:t>La differenza tra piano consumer e piano enterprise</w:t>
      </w:r>
    </w:p>
    <w:p>
      <w:pPr>
        <w:spacing w:after="160" w:line="320" w:lineRule="exact"/>
        <w:jc w:val="both"/>
      </w:pPr>
      <w:r>
        <w:rPr>
          <w:rFonts w:ascii="Calibri" w:hAnsi="Calibri"/>
          <w:sz w:val="22"/>
        </w:rPr>
        <w:t>Sulla stessa piattaforma possono coesistere due prodotti radicalmente diversi dal punto di vista della conformità GDPR. ChatGPT Plus, il piano da 20 euro al mese, usa gli input per il miglioramento del modello salvo opt-out esplicito, non prevede un DPA e trasmette i dati a server statunitensi senza garantie contrattuali specifiche per i trasferimenti extra-UE. ChatGPT Enterprise e ChatGPT Team, i piani aziendali, non usano gli input per addestrare i modelli, includono un Data Processing Agreement conforme al GDPR con clausole contrattuali standard per i trasferimenti extra-UE e offrono controlli aggiuntivi sulla residenza dei dati. La differenza di prezzo tra i due piani è nell'ordine di 3-5 volte. La differenza di esposizione legale è molto maggiore. Uno studio professionale che usa ChatGPT Plus per elaborare dati dei clienti non sta risparmiando sui costi IT: sta trasferendo sul cliente un rischio che il cliente non conosce.</w:t>
      </w:r>
    </w:p>
    <w:p>
      <w:pPr>
        <w:spacing w:before="280" w:after="120"/>
      </w:pPr>
      <w:r>
        <w:rPr>
          <w:rFonts w:ascii="Calibri" w:hAnsi="Calibri"/>
          <w:b/>
          <w:color w:val="1F497D"/>
          <w:sz w:val="24"/>
        </w:rPr>
        <w:t>Il problema specifico dei professionisti</w:t>
      </w:r>
    </w:p>
    <w:p>
      <w:pPr>
        <w:spacing w:after="160" w:line="320" w:lineRule="exact"/>
        <w:jc w:val="both"/>
      </w:pPr>
      <w:r>
        <w:rPr>
          <w:rFonts w:ascii="Calibri" w:hAnsi="Calibri"/>
          <w:sz w:val="22"/>
        </w:rPr>
        <w:t>Per gli studi professionali, la questione assume una dimensione aggiuntiva. La Legge 23 settembre 2025 n. 132 all'articolo 13 prevede che il professionista che usa sistemi AI nell'erogazione della prestazione debba comunicarlo al cliente con linguaggio chiaro. Ma questa comunicazione, che riguarda l'uso dello strumento, non esaurisce l'obbligo sulla protezione dei dati. La comunicazione dice 'ho usato l'AI'. Il GDPR richiede che il cliente sappia anche 'quali dati sono stati trattati, da chi, con quali garanzie'. Un'informativa generica sull'uso dell'AI non sostituisce un'adeguata disclosure sul trattamento dei dati personali del cliente tramite strumenti di terze parti. Chi ha preparato la clausola contrattuale tipo per l'informativa AI pubblicata dal CNDCEC ha fatto un passo nella direzione giusta, ma il pezzo sulla protezione dei dati rimane separato e richiede un aggiornamento dell'informativa privacy dello studio.</w:t>
      </w:r>
    </w:p>
    <w:p>
      <w:pPr>
        <w:spacing w:after="160" w:line="320" w:lineRule="exact"/>
        <w:jc w:val="both"/>
      </w:pPr>
      <w:r>
        <w:rPr>
          <w:rFonts w:ascii="Calibri" w:hAnsi="Calibri"/>
          <w:sz w:val="22"/>
        </w:rPr>
        <w:t>Il Garante per la Protezione dei Dati Personali ha già segnalato il tema dell'AI generativa e del trattamento dei dati negli ultimi anni, con ammonimenti a provider e utenti. Nel 2026, con i poteri di vigilanza pienamente operativi e la combinazione AI Act più GDPR come quadro di riferimento, il rischio per chi usa strumenti AI consumer su dati di clienti è concreto e crescente. Il passaggio pratico non è complesso: identificare quali strumenti AI si usano in studio, verificare se esistono DPA con i fornitori, e dove non esistono valutare se passare ai piani aziendali o se smettere di usare quelli strumenti per i dati dei clienti. Non è una questione di tecnologia. La stessa piattaforma, lo stesso modello, un piano diverso: il problema si risolve con una decisione amministrativa, non con un investimento tecnologico.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Garante per la Protezione dei Dati Personali — ammonimento su AI generativa (2023-2026)</w:t>
      </w:r>
    </w:p>
    <w:p>
      <w:pPr>
        <w:spacing w:after="40"/>
      </w:pPr>
      <w:r>
        <w:rPr>
          <w:rFonts w:ascii="Calibri" w:hAnsi="Calibri"/>
          <w:color w:val="606060"/>
          <w:sz w:val="17"/>
        </w:rPr>
        <w:t>• Regolamento UE 2016/679 (GDPR), articoli 4, 13, 28, 44-49</w:t>
      </w:r>
    </w:p>
    <w:p>
      <w:pPr>
        <w:spacing w:after="40"/>
      </w:pPr>
      <w:r>
        <w:rPr>
          <w:rFonts w:ascii="Calibri" w:hAnsi="Calibri"/>
          <w:color w:val="606060"/>
          <w:sz w:val="17"/>
        </w:rPr>
        <w:t>• Legge 23 settembre 2025, n. 132, articolo 13 — uso AI nelle professioni intellettuali</w:t>
      </w:r>
    </w:p>
    <w:p>
      <w:pPr>
        <w:spacing w:after="40"/>
      </w:pPr>
      <w:r>
        <w:rPr>
          <w:rFonts w:ascii="Calibri" w:hAnsi="Calibri"/>
          <w:color w:val="606060"/>
          <w:sz w:val="17"/>
        </w:rPr>
        <w:t>• AI4Business — 'Privacy e AI: come proteggere i dati e la proprietà intellettuale in azienda' (2026)</w:t>
      </w:r>
    </w:p>
    <w:p>
      <w:pPr>
        <w:spacing w:after="40"/>
      </w:pPr>
      <w:r>
        <w:rPr>
          <w:rFonts w:ascii="Calibri" w:hAnsi="Calibri"/>
          <w:color w:val="606060"/>
          <w:sz w:val="17"/>
        </w:rPr>
        <w:t>• TECH.TEAM Lab — 'IA generativa in azienda: cosa nessun fornitore ti dice sul GDPR' (2026)</w:t>
      </w:r>
    </w:p>
    <w:p>
      <w:pPr>
        <w:spacing w:after="40"/>
      </w:pPr>
      <w:r>
        <w:rPr>
          <w:rFonts w:ascii="Calibri" w:hAnsi="Calibri"/>
          <w:color w:val="606060"/>
          <w:sz w:val="17"/>
        </w:rPr>
        <w:t>• Aipolicy.it — 'Deepfake AI generativa: rischi GDPR e AI Act per PMI italiane' (maggio 2026)</w:t>
      </w:r>
    </w:p>
    <w:p>
      <w:pPr>
        <w:spacing w:after="40"/>
      </w:pPr>
      <w:r>
        <w:rPr>
          <w:rFonts w:ascii="Calibri" w:hAnsi="Calibri"/>
          <w:color w:val="606060"/>
          <w:sz w:val="17"/>
        </w:rPr>
        <w:t>• OpenAI — Enterprise Privacy Policy e Data Processing Agreement (aggiornamento 2026)</w:t>
      </w:r>
    </w:p>
    <w:p>
      <w:pPr>
        <w:spacing w:after="40"/>
      </w:pPr>
      <w:r>
        <w:rPr>
          <w:rFonts w:ascii="Calibri" w:hAnsi="Calibri"/>
          <w:color w:val="606060"/>
          <w:sz w:val="17"/>
        </w:rPr>
        <w:t>• CNDCEC — Clausola contrattuale tipo per l'informativa AI ai clienti dello studio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