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Strumenti AI per Professionisti</w:t>
      </w:r>
    </w:p>
    <w:p/>
    <w:p>
      <w:pPr>
        <w:spacing w:after="120"/>
        <w:jc w:val="left"/>
      </w:pPr>
      <w:r>
        <w:rPr>
          <w:rFonts w:ascii="Calibri" w:hAnsi="Calibri"/>
          <w:b/>
          <w:color w:val="1F497D"/>
          <w:sz w:val="48"/>
        </w:rPr>
        <w:t>Dal chatbot all'operatore. Come cambia l'AI nei processi aziendali.</w:t>
      </w:r>
    </w:p>
    <w:p>
      <w:pPr>
        <w:spacing w:after="200"/>
        <w:jc w:val="left"/>
      </w:pPr>
      <w:r>
        <w:rPr>
          <w:rFonts w:ascii="Calibri" w:hAnsi="Calibri"/>
          <w:i/>
          <w:color w:val="2E74B5"/>
          <w:sz w:val="26"/>
        </w:rPr>
        <w:t>Nel 2026, l'AI non risponde più solo alle domande: agisce. Gli agenti autonomi leggono email, aprono software, compilano moduli, producono report e prenotano risorse senza intervento umano su ogni passaggio. Per le PMI italiane, la domanda non è se adottarli: è come farlo senza perdere il controllo.</w:t>
      </w:r>
    </w:p>
    <w:p>
      <w:pPr>
        <w:spacing w:after="40" w:before="40"/>
        <w:pBdr>
          <w:bottom w:val="single" w:sz="6" w:space="1" w:color="1F497D"/>
        </w:pBdr>
      </w:pPr>
    </w:p>
    <w:p>
      <w:pPr>
        <w:spacing w:after="320"/>
        <w:jc w:val="left"/>
      </w:pPr>
      <w:r>
        <w:rPr>
          <w:rFonts w:ascii="Calibri" w:hAnsi="Calibri"/>
          <w:color w:val="808080"/>
          <w:sz w:val="18"/>
        </w:rPr>
        <w:t>A cura della Redazione Ratio  •  4 settembre 2026</w:t>
      </w:r>
    </w:p>
    <w:p>
      <w:pPr>
        <w:spacing w:after="160" w:line="320" w:lineRule="exact"/>
        <w:jc w:val="both"/>
      </w:pPr>
      <w:r>
        <w:rPr>
          <w:rFonts w:ascii="Calibri" w:hAnsi="Calibri"/>
          <w:sz w:val="22"/>
        </w:rPr>
        <w:t>Nel 1913, Ford introdusse la catena di montaggio a Highland Park. Non fu un'invenzione: fu un'organizzazione diversa di ciò che già esisteva. I lavoratori erano già lì; le macchine anche. Ciò che cambiò fu la sequenza: ogni persona faceva una cosa sola, in un ordine preciso, senza fermarsi a pensare al processo complessivo. Il risultato fu un aumento di produttività dell'ottocento per cento nel giro di tre anni. Gli agenti AI nel 2026 funzionano secondo la stessa logica. Non sono nuove capacità cognitive: sono una nuova organizzazione di capacità già esistenti. Un agente AI prende un obiettivo — 'aggiorna il CRM con i dati delle email ricevute questa settimana' — e lo scompone in una sequenza di azioni: legge le email, estrae i dati rilevanti, apre il CRM, cerca il cliente corrispondente, aggiorna i campi. Ogni passo è semplice; la sequenza automatizzata cambia la produttività.</w:t>
      </w:r>
    </w:p>
    <w:p>
      <w:pPr>
        <w:spacing w:after="160" w:line="320" w:lineRule="exact"/>
        <w:jc w:val="both"/>
      </w:pPr>
      <w:r>
        <w:rPr>
          <w:rFonts w:ascii="Calibri" w:hAnsi="Calibri"/>
          <w:sz w:val="22"/>
        </w:rPr>
        <w:t>La differenza tra un agente AI e un chatbot tradizionale è la capacità di agire, non solo di rispondere. Un chatbot riceve una domanda e produce una risposta testuale. Un agente riceve un obiettivo e produce un risultato: un documento aggiornato, un'email inviata, un record modificato, un report generato. I principali sistemi agentici disponibili nel settembre 2026 — Claude Opus 5 con computer use, GPT-5.6 con Operator, Gemini 3.7 con Project Mariner — possono operare su interfacce web, leggere e scrivere file, interagire con gestionali via API o direttamente sull'interfaccia grafica, e produrre output strutturati che si integrano nei workflow esistenti.</w:t>
      </w:r>
    </w:p>
    <w:p>
      <w:pPr>
        <w:spacing w:before="280" w:after="120"/>
      </w:pPr>
      <w:r>
        <w:rPr>
          <w:rFonts w:ascii="Calibri" w:hAnsi="Calibri"/>
          <w:b/>
          <w:color w:val="1F497D"/>
          <w:sz w:val="24"/>
        </w:rPr>
        <w:t>I sette processi più adatti agli agenti AI nelle PMI italiane</w:t>
      </w:r>
    </w:p>
    <w:p>
      <w:pPr>
        <w:spacing w:after="160" w:line="320" w:lineRule="exact"/>
        <w:jc w:val="both"/>
      </w:pPr>
      <w:r>
        <w:rPr>
          <w:rFonts w:ascii="Calibri" w:hAnsi="Calibri"/>
          <w:sz w:val="22"/>
        </w:rPr>
        <w:t>Sulla base dell'adozione nelle imprese italiane nel 2026, i processi che producono i risultati migliori con gli agenti AI hanno alcune caratteristiche comuni: alto volume di operazioni ripetitive, dati strutturati o semi-strutturati in ingresso, output verificabile da un operatore umano prima dell'azione finale. I sette casi d'uso più diffusi nelle PMI italiane sono: la gestione della posta in arrivo (classificazione, prioritizzazione, bozze di risposta); il pre-qualifica dei lead (lettura dei form, incrocio con il CRM, scoring automatico); il follow-up su offerte (invio automatico di promemoria sulle trattative aperte); la gestione dei ticket di assistenza (risposta alle richieste frequenti, instradamento di quelle complesse); la reportistica settimanale (aggregazione da fonti multiple, produzione del documento); la riconciliazione contabile di primo livello (incrocio tra fatture, movimenti bancari e registrazioni contabili); e la sintesi di documenti tecnici o contrattuali (estratti strutturati da contratti, bilanci, verbali). Nessuno di questi casi richiede un agente completamente autonomo: tutti prevedono un punto di verifica umana prima delle azioni più sensibili.</w:t>
      </w:r>
    </w:p>
    <w:p>
      <w:pPr>
        <w:spacing w:before="280" w:after="120"/>
      </w:pPr>
      <w:r>
        <w:rPr>
          <w:rFonts w:ascii="Calibri" w:hAnsi="Calibri"/>
          <w:b/>
          <w:color w:val="1F497D"/>
          <w:sz w:val="24"/>
        </w:rPr>
        <w:t>Il perimetro di autonomia: la scelta che conta di più</w:t>
      </w:r>
    </w:p>
    <w:p>
      <w:pPr>
        <w:spacing w:after="160" w:line="320" w:lineRule="exact"/>
        <w:jc w:val="both"/>
      </w:pPr>
      <w:r>
        <w:rPr>
          <w:rFonts w:ascii="Calibri" w:hAnsi="Calibri"/>
          <w:sz w:val="22"/>
        </w:rPr>
        <w:t>La variabile che determina se un agente AI produce valore o problemi non è la capacità tecnica del modello: è la chiarezza con cui è stato definito il suo perimetro di autonomia. Un perimetro di autonomia ben definito risponde a tre domande: quali azioni l'agente può compiere in autonomia senza chiedere conferma? Quali azioni richiedono un'approvazione umana prima di essere eseguite? Cosa succede quando l'agente incontra un caso non previsto? Le aziende che hanno avuto esperienze negative con gli agenti AI hanno quasi sempre saltato la definizione esplicita di queste regole, lasciando al modello la discrezionalità di decidere autonomamente fin dove spingersi. Un agente che lavora su un alto volume di operazioni replica un errore sistematico centinaia di volte prima che venga rilevato. La governance non è un freno alla produttività: è ciò che rende la produttività sostenibile nel tempo.</w:t>
      </w:r>
    </w:p>
    <w:p>
      <w:pPr>
        <w:spacing w:before="280" w:after="120"/>
      </w:pPr>
      <w:r>
        <w:rPr>
          <w:rFonts w:ascii="Calibri" w:hAnsi="Calibri"/>
          <w:b/>
          <w:color w:val="1F497D"/>
          <w:sz w:val="24"/>
        </w:rPr>
        <w:t>Il professionista come punto di connessione</w:t>
      </w:r>
    </w:p>
    <w:p>
      <w:pPr>
        <w:spacing w:after="160" w:line="320" w:lineRule="exact"/>
        <w:jc w:val="both"/>
      </w:pPr>
      <w:r>
        <w:rPr>
          <w:rFonts w:ascii="Calibri" w:hAnsi="Calibri"/>
          <w:sz w:val="22"/>
        </w:rPr>
        <w:t>Per molte PMI italiane, la figura che può più concretamente aiutare nell'adozione degli agenti AI non è un consulente tecnologico esterno: è il professionista di fiducia già inserito nei processi aziendali. Il commercialista che conosce il ciclo di fatturazione, i flussi di cassa, le scadenze fiscali dell'impresa è nella posizione ideale per identificare quali processi si prestano all'automazione agentiva e quali no. Non deve diventare un esperto di AI: deve saper rispondere a domande come 'questo processo è abbastanza strutturato da poter essere affidato a un agente?', 'qual è il punto di supervisione umana in questo flusso?', 'come documentiamo l'uso di questo agente per l'AI Act?'. Queste domande valgono consulenza. E le PMI che le pongono al professionista già presente nel loro ecosistema hanno più probabilità di rispondere bene di quelle che cercano un nuovo specialista dall'esterno.</w:t>
      </w:r>
    </w:p>
    <w:p>
      <w:pPr>
        <w:spacing w:after="160" w:line="320" w:lineRule="exact"/>
        <w:jc w:val="both"/>
      </w:pPr>
      <w:r>
        <w:rPr>
          <w:rFonts w:ascii="Calibri" w:hAnsi="Calibri"/>
          <w:sz w:val="22"/>
        </w:rPr>
        <w:t>Ford non inventò l'automobile: la rese accessibile. Non inventò il lavoro in fabbrica: lo organizò meglio. Gli agenti AI del 2026 non inventano nuove capacità per le imprese: organizzano meglio quelle che già esistono. La catena di montaggio cambiò l'economia mondiale non perché era sofisticata, ma perché era semplice, scalabile e replicabile. Il processo ben definito è ancora la unità fondamentale. L'agente AI è il nuovo modo di eseguirlo.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AI4Business — 'Agenti e workflow: dall'AI conversazionale all'AI operativa' (2026)</w:t>
      </w:r>
    </w:p>
    <w:p>
      <w:pPr>
        <w:spacing w:after="40"/>
      </w:pPr>
      <w:r>
        <w:rPr>
          <w:rFonts w:ascii="Calibri" w:hAnsi="Calibri"/>
          <w:color w:val="606060"/>
          <w:sz w:val="17"/>
        </w:rPr>
        <w:t>• Impesud — 'Agentic AI in Italia 2026: Dalla Teoria all'Azione' (2026)</w:t>
      </w:r>
    </w:p>
    <w:p>
      <w:pPr>
        <w:spacing w:after="40"/>
      </w:pPr>
      <w:r>
        <w:rPr>
          <w:rFonts w:ascii="Calibri" w:hAnsi="Calibri"/>
          <w:color w:val="606060"/>
          <w:sz w:val="17"/>
        </w:rPr>
        <w:t>• AiChain Solutions — 'Automazioni AI Aziende: i 7 Processi (2026)'</w:t>
      </w:r>
    </w:p>
    <w:p>
      <w:pPr>
        <w:spacing w:after="40"/>
      </w:pPr>
      <w:r>
        <w:rPr>
          <w:rFonts w:ascii="Calibri" w:hAnsi="Calibri"/>
          <w:color w:val="606060"/>
          <w:sz w:val="17"/>
        </w:rPr>
        <w:t>• Best Tech Partner — 'Workflow Automation AI: Guida Strategica agli Agenti Intelligenti 2026'</w:t>
      </w:r>
    </w:p>
    <w:p>
      <w:pPr>
        <w:spacing w:after="40"/>
      </w:pPr>
      <w:r>
        <w:rPr>
          <w:rFonts w:ascii="Calibri" w:hAnsi="Calibri"/>
          <w:color w:val="606060"/>
          <w:sz w:val="17"/>
        </w:rPr>
        <w:t>• EM-EasyMobile — 'AI nelle PMI: come adottarla senza perdere il controllo' (2 settembre 2026)</w:t>
      </w:r>
    </w:p>
    <w:p>
      <w:pPr>
        <w:spacing w:after="40"/>
      </w:pPr>
      <w:r>
        <w:rPr>
          <w:rFonts w:ascii="Calibri" w:hAnsi="Calibri"/>
          <w:color w:val="606060"/>
          <w:sz w:val="17"/>
        </w:rPr>
        <w:t>• Osservatorio Artificial Intelligence, Politecnico di Milano — Rapporto mercato AI 2025-2026</w:t>
      </w:r>
    </w:p>
    <w:p>
      <w:pPr>
        <w:spacing w:after="40"/>
      </w:pPr>
      <w:r>
        <w:rPr>
          <w:rFonts w:ascii="Calibri" w:hAnsi="Calibri"/>
          <w:color w:val="606060"/>
          <w:sz w:val="17"/>
        </w:rPr>
        <w:t>• Tom's Hardware — 'Agenti AI e nuove regolamentazioni: il quadro normativo italiano ed europeo 2026'</w:t>
      </w:r>
    </w:p>
    <w:p>
      <w:pPr>
        <w:spacing w:after="40"/>
      </w:pPr>
      <w:r>
        <w:rPr>
          <w:rFonts w:ascii="Calibri" w:hAnsi="Calibri"/>
          <w:color w:val="606060"/>
          <w:sz w:val="17"/>
        </w:rPr>
        <w:t>• Corriere Comunicazioni — 'Agenti AI e regolamentazione 2026: cosa cambia per le imprese'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