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aps/>
          <w:color w:val="1F497D"/>
          <w:sz w:val="18"/>
        </w:rPr>
        <w:t>RATIO  •  Approfondimenti per Professionisti e Imprese</w:t>
      </w:r>
    </w:p>
    <w:p>
      <w:pPr>
        <w:spacing w:after="40" w:before="40"/>
        <w:pBdr>
          <w:bottom w:val="single" w:sz="6" w:space="1" w:color="1F497D"/>
        </w:pBdr>
      </w:pPr>
    </w:p>
    <w:p>
      <w:pPr>
        <w:jc w:val="right"/>
      </w:pPr>
      <w:r>
        <w:rPr>
          <w:rFonts w:ascii="Calibri" w:hAnsi="Calibri"/>
          <w:i/>
          <w:color w:val="606060"/>
          <w:sz w:val="17"/>
        </w:rPr>
        <w:t>Settembre 2026  |  Normativa AI e Compliance</w:t>
      </w:r>
    </w:p>
    <w:p/>
    <w:p>
      <w:pPr>
        <w:spacing w:after="120"/>
        <w:jc w:val="left"/>
      </w:pPr>
      <w:r>
        <w:rPr>
          <w:rFonts w:ascii="Calibri" w:hAnsi="Calibri"/>
          <w:b/>
          <w:color w:val="1F497D"/>
          <w:sz w:val="48"/>
        </w:rPr>
        <w:t>Due regimi, un'azienda. La doppia compliance che nessuno ha spiegato bene.</w:t>
      </w:r>
    </w:p>
    <w:p>
      <w:pPr>
        <w:spacing w:after="200"/>
        <w:jc w:val="left"/>
      </w:pPr>
      <w:r>
        <w:rPr>
          <w:rFonts w:ascii="Calibri" w:hAnsi="Calibri"/>
          <w:i/>
          <w:color w:val="2E74B5"/>
          <w:sz w:val="26"/>
        </w:rPr>
        <w:t>Le imprese italiane non devono rispettare solo l'AI Act europeo. Devono rispettare anche la Legge 23 settembre 2025 n. 132, che aggiunge obblighi nazionali distinti: sulle relazioni di lavoro, sui deepfake, sul diritto d'autore. Due regimi, due autorità, due sistemi di sanzioni. Molte aziende non lo sanno ancora.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after="320"/>
        <w:jc w:val="left"/>
      </w:pPr>
      <w:r>
        <w:rPr>
          <w:rFonts w:ascii="Calibri" w:hAnsi="Calibri"/>
          <w:color w:val="808080"/>
          <w:sz w:val="18"/>
        </w:rPr>
        <w:t>A cura della Redazione Ratio  •  4 settembre 2026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Nel 1993, quando l'Italia recepì la Direttiva IVA comunitaria, il legislatore nazionale aggiunse una serie di adempimenti che la Direttiva non richiedeva: fatturazioni specifiche, registri supplementari, comunicazioni periodiche. I commercialisti che seguivano solo il testo europeo si trovarono in difetto. Trent'anni dopo, il copione si ripete con l'intelligenza artificiale. Il Regolamento UE 2024/1689 — l'AI Act — stabilisce un quadro europeo di regole sull'AI. Ma l'Italia, come consentito dal Regolamento, ha aggiunto un livello normativo nazionale: la Legge 23 settembre 2025, n. 132, entrata in vigore il 10 ottobre 2025 e ora completata dai due decreti attuativi approvati dal Consiglio dei Ministri il 4 agosto 2026. Per le imprese italiane, la compliance AI non è un binario: è una doppia corsia.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L'AI Act europeo fissa le regole sui sistemi AI classificati per livello di rischio: vietati, ad alto rischio, a rischio limitato, a rischio minimo. Stabilisce obblighi di trasparenza, AI literacy, governance dei modelli di uso generale. Designa la Commissione europea e l'AI Office come autorità di vigilanza sovranazionali. La Legge 132/2025 agisce su un piano diverso: integra l'AI Act con disposizioni nazionali che il Regolamento europeo lasciava alla discrezionalità degli Stati membri. E aggiunge materie che l'AI Act non toccava: la disciplina penale dei deepfake lesivi, la protezione del diritto d'autore per le opere create con assistenza AI, gli obblighi informativi delle imprese verso i lavoratori che usano sistemi AI nelle proprie mansioni.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4"/>
        </w:rPr>
        <w:t>I tre obblighi nuovi della Legge 132 che non vengono dall'AI Act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Il primo obbligo riguarda i lavoratori. La Legge 132 impone alle imprese che utilizzano sistemi AI nei processi di lavoro di informare preventivamente i lavoratori sull'uso di tali sistemi, sui dati elaborati, sulle modalità di supervisione e sulle eventuali conseguenze sulle condizioni di lavoro. Questo obbligo non deriva dall'AI Act — che disciplina i sistemi AI usati per prendere decisioni sui lavoratori solo nella categoria ad alto rischio — ma dalla Legge 132, che lo estende a un perimetro più ampio. Il secondo obbligo riguarda i deepfake. La Legge 132 ha introdotto nel Codice Penale il reato di diffusione illecita di contenuti generati da AI che ledono l'immagine o la dignità di persone reali. Non è un obbligo diretto per le imprese, ma genera responsabilità per le aziende che producono o diffondono contenuti AI senza i controlli adeguati. Il terzo obbligo riguarda il diritto d'autore. La Legge 132 stabilisce che le opere create con assistenza AI significativa devono indicare questa circostanza: chi pubblica contenuti aziendali generati da AI senza disclosure adeguata può incorrere in violazioni dei diritti di terzi o in contestazioni sulla paternità dell'opera.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4"/>
        </w:rPr>
        <w:t>Le due autorità che vigilano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La doppia compliance produce anche una doppia vigilanza. Per l'AI Act europeo, in Italia le autorità designate sono l'Agenzia per l'Italia Digitale (AgID) — come autorità di notifica — e l'Agenzia per la Cybersicurezza Nazionale (ACN) — come autorità di sorveglianza del mercato, con poteri di ispezione e sanzione. Per la Legge 132, si aggiungono i decreti attuativi approvati il 4 agosto 2026, che definiscono le competenze dell'ACN anche nel contesto nazionale e le regole sull'uso dell'AI nella formazione. Le sanzioni previste dall'AI Act arrivano fino al 7% del fatturato mondiale o 35 milioni di euro per i sistemi ad alto rischio; fino al 3% o 15 milioni per le violazioni degli obblighi di trasparenza. La Legge 132 aggiunge sanzioni specifiche sul versante dei rapporti di lavoro e della responsabilità penale per i deepfake.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4"/>
        </w:rPr>
        <w:t>Come impostare la compliance duale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Per un'impresa o uno studio professionale, affrontare la doppia compliance in modo ordinato richiede un approccio a due livelli separati ma coordinati. Il primo livello è la mappatura dei sistemi AI in uso: identificare ogni strumento con componenti AI, classificarlo per categoria di rischio AI Act e verificare se il suo utilizzo rientra negli obblighi della Legge 132 sui rapporti di lavoro. Il secondo livello è la documentazione: per l'AI Act, le disclosure ai clienti e la formazione del personale; per la Legge 132, le informative ai lavoratori e le policy sui contenuti AI pubblicati. Il professionista che affianca l'impresa deve conoscere entrambi i livelli: consigliare solo l'AI Act lascia l'impresa esposta agli obblighi nazionali, e viceversa.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Nel 1993, i commercialisti che avevano letto solo la Direttiva IVA e non il decreto legislativo di recepimento si trovarono a rispiegare ai clienti perché c'erano adempimenti in più. La situazione con l'AI è identica, con la differenza che le sanzioni sono un ordine di grandezza superiori e i sistemi sono già in produzione. Meglio leggere entrambe le norme adesso.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before="200"/>
      </w:pPr>
      <w:r>
        <w:rPr>
          <w:rFonts w:ascii="Calibri" w:hAnsi="Calibri"/>
          <w:b/>
          <w:color w:val="606060"/>
          <w:sz w:val="18"/>
        </w:rPr>
        <w:t>Riferimenti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Tom's Hardware — 'La doppia compliance che inchioda le imprese italiane all'AI Act' (2026)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Legge 23 settembre 2025, n. 132 — Disposizioni in materia di intelligenza artificiale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Regolamento UE 2024/1689 (AI Act) — in vigore dal 2 agosto 2026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Federprivacy — 'Il Consiglio dei Ministri approva i decreti di adeguamento all'AI Act' (agosto 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Diritto Mercato Tecnologia — 'AI Act: il Governo approva definitivamente i decreti di adeguamento' (2026)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FISCOeTASSE.com — 'Regolamento intelligenza artificiale in Italia 2026: approvati i decreti' (2026)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Quotidianopiù — 'AI Act: imprese nel labirinto della compliance' (2026)</w:t>
      </w:r>
    </w:p>
    <w:p>
      <w:pPr>
        <w:spacing w:before="320"/>
        <w:jc w:val="center"/>
      </w:pPr>
      <w:r>
        <w:rPr>
          <w:rFonts w:ascii="Calibri" w:hAnsi="Calibri"/>
          <w:i/>
          <w:color w:val="A0A0A0"/>
          <w:sz w:val="16"/>
        </w:rPr>
        <w:t>© 2026 Mattavelli Amodeo — Commercialisti Associati  •  Riproduzione consentita con citazione della fonte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