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9F46" w14:textId="77777777" w:rsidR="00D9341F" w:rsidRPr="00D9341F" w:rsidRDefault="00D9341F" w:rsidP="00D9341F">
      <w:pPr>
        <w:jc w:val="both"/>
        <w:rPr>
          <w:b/>
          <w:bCs/>
        </w:rPr>
      </w:pPr>
      <w:r w:rsidRPr="00D9341F">
        <w:rPr>
          <w:b/>
          <w:bCs/>
        </w:rPr>
        <w:t>I verticali e la ricerca avanzata per i problemi complessi</w:t>
      </w:r>
    </w:p>
    <w:p w14:paraId="0E63084A" w14:textId="2F42BBC0" w:rsidR="00D9341F" w:rsidRDefault="00D9341F" w:rsidP="00D9341F">
      <w:pPr>
        <w:jc w:val="both"/>
      </w:pPr>
      <w:r w:rsidRPr="00D9341F">
        <w:t>Venerdì sera, pronti per il week end, suona il telefono. È proprio quel cliente a cui tengo molto e per il quale sto sviluppando una serie di progetti interessanti che mi sottopone una questione societaria e contrattuale di particolare complessità, dandomi appuntamento per il lunedì (alle 9:00 naturalmente) per un approfondimento. Credo che la situazione descritta non sia così inusuale a chi legge…</w:t>
      </w:r>
      <w:r>
        <w:t>E che per molti di noi in passato questa abbia rappresentato l’overture di un fine settimana non proprio esaltante.</w:t>
      </w:r>
    </w:p>
    <w:p w14:paraId="0819ED85" w14:textId="62CA46AE" w:rsidR="00D9341F" w:rsidRPr="00D9341F" w:rsidRDefault="00D9341F" w:rsidP="00D9341F">
      <w:pPr>
        <w:jc w:val="both"/>
      </w:pPr>
      <w:r>
        <w:t>Decido allora di provare la carta dell’intelligenza artificiale, tenuto conto delle ultime novità e delle potenzialità offerte dai verticali specializzati per approfondire (sia ben chiaro approfondire, non risolvere) il problema. Opto per NASSAU (sono ancora in prova gratuita e vale la pena sfruttarlo)</w:t>
      </w:r>
      <w:r w:rsidR="003C7068">
        <w:t xml:space="preserve">, so già che non ci potrò dialogare e quindi cerco con altri strumenti AI (Claude e </w:t>
      </w:r>
      <w:proofErr w:type="spellStart"/>
      <w:r w:rsidR="003C7068">
        <w:t>Gpt</w:t>
      </w:r>
      <w:proofErr w:type="spellEnd"/>
      <w:r w:rsidR="003C7068">
        <w:t xml:space="preserve"> 4o) di formulare il migliore dei prompt possibili (non posso sprecare tempo e crediti)</w:t>
      </w:r>
    </w:p>
    <w:p w14:paraId="55F67648" w14:textId="6204DAB1" w:rsidR="00D9341F" w:rsidRPr="00D9341F" w:rsidRDefault="00D9341F" w:rsidP="00D9341F">
      <w:pPr>
        <w:jc w:val="both"/>
      </w:pPr>
      <w:r w:rsidRPr="00D9341F">
        <w:t>Apro l'interfaccia e imposto una ricerca mirata sulla questione specifica. Il sistema verticale, specializzato, mi permette di inserire parametri precisi: tipo di fusione, giurisdizioni coinvolte, struttura azionaria e potenziali conflitti normativi.</w:t>
      </w:r>
    </w:p>
    <w:p w14:paraId="6B249B78" w14:textId="24999666" w:rsidR="00D9341F" w:rsidRDefault="003C7068" w:rsidP="00D9341F">
      <w:pPr>
        <w:jc w:val="both"/>
      </w:pPr>
      <w:r>
        <w:t xml:space="preserve">Vado a cena e lascio che il sistema </w:t>
      </w:r>
      <w:r w:rsidR="00D9341F" w:rsidRPr="00D9341F">
        <w:t>elabor</w:t>
      </w:r>
      <w:r>
        <w:t>i</w:t>
      </w:r>
      <w:r w:rsidR="00D9341F" w:rsidRPr="00D9341F">
        <w:t xml:space="preserve"> la query</w:t>
      </w:r>
      <w:r>
        <w:t>. Al ritorno</w:t>
      </w:r>
      <w:r w:rsidR="00D9341F" w:rsidRPr="00D9341F">
        <w:t xml:space="preserve"> noto come l'algoritmo </w:t>
      </w:r>
      <w:r>
        <w:t xml:space="preserve">abbia </w:t>
      </w:r>
      <w:r w:rsidR="00D9341F" w:rsidRPr="00D9341F">
        <w:t>seleziona</w:t>
      </w:r>
      <w:r>
        <w:t>to</w:t>
      </w:r>
      <w:r w:rsidR="00D9341F" w:rsidRPr="00D9341F">
        <w:t xml:space="preserve"> fonti rilevanti che </w:t>
      </w:r>
      <w:r>
        <w:t>non conoscevo</w:t>
      </w:r>
      <w:r w:rsidR="00D9341F" w:rsidRPr="00D9341F">
        <w:t>. In particolare, emerge un precedente del Tribunale di Milano che affronta un caso sorprendentemente simile, con una dettagliata argomentazione sulle modalità di risoluzione del conflitto normativo.</w:t>
      </w:r>
      <w:r w:rsidR="00055656">
        <w:t xml:space="preserve"> </w:t>
      </w:r>
    </w:p>
    <w:p w14:paraId="766D3956" w14:textId="547452B7" w:rsidR="00D9341F" w:rsidRDefault="00055656" w:rsidP="00D9341F">
      <w:pPr>
        <w:jc w:val="both"/>
      </w:pPr>
      <w:r>
        <w:t xml:space="preserve">Ogni qualvolta l’AI cita una legge, circolare e sentenza occorre verificare con una giusta dose di scetticismo professionale. In questi casi le nuove funzioni di ricerca approfondita di Chat </w:t>
      </w:r>
      <w:proofErr w:type="spellStart"/>
      <w:r>
        <w:t>gpt</w:t>
      </w:r>
      <w:proofErr w:type="spellEnd"/>
      <w:r>
        <w:t xml:space="preserve"> e </w:t>
      </w:r>
      <w:proofErr w:type="spellStart"/>
      <w:r>
        <w:t>Perplexity</w:t>
      </w:r>
      <w:proofErr w:type="spellEnd"/>
      <w:r>
        <w:t xml:space="preserve"> </w:t>
      </w:r>
      <w:r w:rsidR="00D9341F" w:rsidRPr="00D9341F">
        <w:t xml:space="preserve">si </w:t>
      </w:r>
      <w:proofErr w:type="spellStart"/>
      <w:r w:rsidR="00D9341F" w:rsidRPr="00D9341F">
        <w:t>rivela</w:t>
      </w:r>
      <w:r>
        <w:t>np</w:t>
      </w:r>
      <w:proofErr w:type="spellEnd"/>
      <w:r w:rsidR="00D9341F" w:rsidRPr="00D9341F">
        <w:t xml:space="preserve"> particolarmente efficace quando, partendo dalla sentenza individuata, il sistema identifica automaticamente tutti i riferimenti citati, verificandone l'attualità e il contesto applicativo. L'analisi si spinge oltre il semplice testo, evidenziando le interconnessioni tra fonti diverse e offrendo una visione organica della questione.</w:t>
      </w:r>
    </w:p>
    <w:p w14:paraId="50A0EF99" w14:textId="11C3E5DF" w:rsidR="00055656" w:rsidRPr="00D9341F" w:rsidRDefault="00055656" w:rsidP="00055656">
      <w:r w:rsidRPr="00055656">
        <w:t xml:space="preserve">Il weekend </w:t>
      </w:r>
      <w:r>
        <w:t>passa all’insegna del relax, come da programma.</w:t>
      </w:r>
    </w:p>
    <w:p w14:paraId="573D8410" w14:textId="57024D7E" w:rsidR="00D9341F" w:rsidRPr="00D9341F" w:rsidRDefault="00D9341F" w:rsidP="00D9341F">
      <w:pPr>
        <w:jc w:val="both"/>
      </w:pPr>
      <w:r w:rsidRPr="00D9341F">
        <w:t xml:space="preserve">Domenica </w:t>
      </w:r>
      <w:r w:rsidR="00055656">
        <w:t>sera</w:t>
      </w:r>
      <w:r w:rsidRPr="00D9341F">
        <w:t>, dopo aver raccolto e analizzato il materiale, mi trovo con una comprensione del problema decisamente più solida. La piattaforma ha permesso di identificare tre aspetti critici che avrebbero potuto rappresentare insidie pericolose per il mio cliente:</w:t>
      </w:r>
    </w:p>
    <w:p w14:paraId="6E004256" w14:textId="77777777" w:rsidR="00D9341F" w:rsidRPr="00D9341F" w:rsidRDefault="00D9341F" w:rsidP="00D9341F">
      <w:pPr>
        <w:numPr>
          <w:ilvl w:val="0"/>
          <w:numId w:val="1"/>
        </w:numPr>
        <w:jc w:val="both"/>
      </w:pPr>
      <w:r w:rsidRPr="00D9341F">
        <w:t>Un'interpretazione recente della Cassazione su clausole simili a quelle presenti nei contratti del cliente</w:t>
      </w:r>
    </w:p>
    <w:p w14:paraId="1AFDC5FF" w14:textId="77777777" w:rsidR="00D9341F" w:rsidRPr="00D9341F" w:rsidRDefault="00D9341F" w:rsidP="00D9341F">
      <w:pPr>
        <w:numPr>
          <w:ilvl w:val="0"/>
          <w:numId w:val="1"/>
        </w:numPr>
        <w:jc w:val="both"/>
      </w:pPr>
      <w:r w:rsidRPr="00D9341F">
        <w:t>Un orientamento emergente in ambito UE potenzialmente impattante sulla struttura fiscale dell'operazione</w:t>
      </w:r>
    </w:p>
    <w:p w14:paraId="14A178B8" w14:textId="77777777" w:rsidR="00D9341F" w:rsidRPr="00D9341F" w:rsidRDefault="00D9341F" w:rsidP="00D9341F">
      <w:pPr>
        <w:numPr>
          <w:ilvl w:val="0"/>
          <w:numId w:val="1"/>
        </w:numPr>
        <w:jc w:val="both"/>
      </w:pPr>
      <w:r w:rsidRPr="00D9341F">
        <w:t>Un requisito documentale specifico richiesto dalla normativa del paese estero coinvolto</w:t>
      </w:r>
    </w:p>
    <w:p w14:paraId="11A0DD59" w14:textId="0E63CFD1" w:rsidR="00D9341F" w:rsidRPr="00D9341F" w:rsidRDefault="00D9341F" w:rsidP="00D9341F">
      <w:pPr>
        <w:jc w:val="both"/>
      </w:pPr>
      <w:r w:rsidRPr="00D9341F">
        <w:t>L'indomani, alle 9:00 precise, il cliente mi trova preparato e con soluzioni concrete.</w:t>
      </w:r>
    </w:p>
    <w:p w14:paraId="417D1B09" w14:textId="794B0779" w:rsidR="002937B0" w:rsidRDefault="00D9341F" w:rsidP="00D9341F">
      <w:pPr>
        <w:jc w:val="both"/>
      </w:pPr>
      <w:r w:rsidRPr="00D9341F">
        <w:lastRenderedPageBreak/>
        <w:t xml:space="preserve">In un'epoca di sovraccarico informativo, la vera competenza professionale non risiede più nella capacità di accedere alle informazioni, ma nella capacità di selezionarle, contestualizzarle e integrarle in un quadro coerente. </w:t>
      </w:r>
      <w:r w:rsidR="00E6579F" w:rsidRPr="00E6579F">
        <w:t>Gli strumenti specializzati rappresentano un'estensione dell'intelligenza analitica, non un sostituto del ragionamento critico. Utilizzati in combinazione con avanzati strumenti di ricerca, preferibilmente più di uno, costituiscono una sinergia estremamente potente.</w:t>
      </w:r>
    </w:p>
    <w:sectPr w:rsidR="002937B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902E1"/>
    <w:multiLevelType w:val="multilevel"/>
    <w:tmpl w:val="5CC0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59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1F"/>
    <w:rsid w:val="00055656"/>
    <w:rsid w:val="002937B0"/>
    <w:rsid w:val="00345D19"/>
    <w:rsid w:val="003C7068"/>
    <w:rsid w:val="004701BA"/>
    <w:rsid w:val="006E0142"/>
    <w:rsid w:val="00965696"/>
    <w:rsid w:val="00CB7AC1"/>
    <w:rsid w:val="00D9341F"/>
    <w:rsid w:val="00E657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B78D"/>
  <w15:chartTrackingRefBased/>
  <w15:docId w15:val="{E214A511-FC98-4787-98DD-5B78D213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93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93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9341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9341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9341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9341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9341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9341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9341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341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9341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9341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9341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9341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9341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9341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9341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9341F"/>
    <w:rPr>
      <w:rFonts w:eastAsiaTheme="majorEastAsia" w:cstheme="majorBidi"/>
      <w:color w:val="272727" w:themeColor="text1" w:themeTint="D8"/>
    </w:rPr>
  </w:style>
  <w:style w:type="paragraph" w:styleId="Titolo">
    <w:name w:val="Title"/>
    <w:basedOn w:val="Normale"/>
    <w:next w:val="Normale"/>
    <w:link w:val="TitoloCarattere"/>
    <w:uiPriority w:val="10"/>
    <w:qFormat/>
    <w:rsid w:val="00D93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341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341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341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341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9341F"/>
    <w:rPr>
      <w:i/>
      <w:iCs/>
      <w:color w:val="404040" w:themeColor="text1" w:themeTint="BF"/>
    </w:rPr>
  </w:style>
  <w:style w:type="paragraph" w:styleId="Paragrafoelenco">
    <w:name w:val="List Paragraph"/>
    <w:basedOn w:val="Normale"/>
    <w:uiPriority w:val="34"/>
    <w:qFormat/>
    <w:rsid w:val="00D9341F"/>
    <w:pPr>
      <w:ind w:left="720"/>
      <w:contextualSpacing/>
    </w:pPr>
  </w:style>
  <w:style w:type="character" w:styleId="Enfasiintensa">
    <w:name w:val="Intense Emphasis"/>
    <w:basedOn w:val="Carpredefinitoparagrafo"/>
    <w:uiPriority w:val="21"/>
    <w:qFormat/>
    <w:rsid w:val="00D9341F"/>
    <w:rPr>
      <w:i/>
      <w:iCs/>
      <w:color w:val="0F4761" w:themeColor="accent1" w:themeShade="BF"/>
    </w:rPr>
  </w:style>
  <w:style w:type="paragraph" w:styleId="Citazioneintensa">
    <w:name w:val="Intense Quote"/>
    <w:basedOn w:val="Normale"/>
    <w:next w:val="Normale"/>
    <w:link w:val="CitazioneintensaCarattere"/>
    <w:uiPriority w:val="30"/>
    <w:qFormat/>
    <w:rsid w:val="00D93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9341F"/>
    <w:rPr>
      <w:i/>
      <w:iCs/>
      <w:color w:val="0F4761" w:themeColor="accent1" w:themeShade="BF"/>
    </w:rPr>
  </w:style>
  <w:style w:type="character" w:styleId="Riferimentointenso">
    <w:name w:val="Intense Reference"/>
    <w:basedOn w:val="Carpredefinitoparagrafo"/>
    <w:uiPriority w:val="32"/>
    <w:qFormat/>
    <w:rsid w:val="00D93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961161">
      <w:bodyDiv w:val="1"/>
      <w:marLeft w:val="0"/>
      <w:marRight w:val="0"/>
      <w:marTop w:val="0"/>
      <w:marBottom w:val="0"/>
      <w:divBdr>
        <w:top w:val="none" w:sz="0" w:space="0" w:color="auto"/>
        <w:left w:val="none" w:sz="0" w:space="0" w:color="auto"/>
        <w:bottom w:val="none" w:sz="0" w:space="0" w:color="auto"/>
        <w:right w:val="none" w:sz="0" w:space="0" w:color="auto"/>
      </w:divBdr>
    </w:div>
    <w:div w:id="145595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1B6D80-6609-4CD5-BD44-BBC05543D18E}"/>
</file>

<file path=customXml/itemProps2.xml><?xml version="1.0" encoding="utf-8"?>
<ds:datastoreItem xmlns:ds="http://schemas.openxmlformats.org/officeDocument/2006/customXml" ds:itemID="{34956CC5-F32C-4565-A6B2-B69CE724EBD1}"/>
</file>

<file path=customXml/itemProps3.xml><?xml version="1.0" encoding="utf-8"?>
<ds:datastoreItem xmlns:ds="http://schemas.openxmlformats.org/officeDocument/2006/customXml" ds:itemID="{C13187BC-58C2-40AA-8133-9F28EDE13689}"/>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2894</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2025-03-01T12:00:00Z</dcterms:created>
  <dcterms:modified xsi:type="dcterms:W3CDTF">2025-03-01T13:39:00Z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