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448BA" w14:textId="13BCBDD6" w:rsidR="00F40E0A" w:rsidRDefault="00F40E0A" w:rsidP="00AF5ED0">
      <w:pPr>
        <w:jc w:val="both"/>
        <w:rPr>
          <w:b/>
          <w:bCs/>
          <w:sz w:val="24"/>
          <w:szCs w:val="24"/>
        </w:rPr>
      </w:pPr>
      <w:r w:rsidRPr="00F40E0A">
        <w:rPr>
          <w:b/>
          <w:bCs/>
          <w:sz w:val="24"/>
          <w:szCs w:val="24"/>
        </w:rPr>
        <w:t>Indicatori della Crisi d’Impresa: Strumenti di Prevenzione e Gestione del Rischio Aziendale</w:t>
      </w:r>
    </w:p>
    <w:p w14:paraId="3443BB52" w14:textId="323AA0B7" w:rsidR="00473F25" w:rsidRPr="00241284" w:rsidRDefault="00473F25" w:rsidP="00AF5ED0">
      <w:pPr>
        <w:jc w:val="both"/>
        <w:rPr>
          <w:b/>
          <w:bCs/>
          <w:sz w:val="24"/>
          <w:szCs w:val="24"/>
        </w:rPr>
      </w:pPr>
      <w:r w:rsidRPr="00241284">
        <w:rPr>
          <w:b/>
          <w:bCs/>
          <w:sz w:val="24"/>
          <w:szCs w:val="24"/>
        </w:rPr>
        <w:t>Abstract</w:t>
      </w:r>
    </w:p>
    <w:p w14:paraId="70CA4FFF" w14:textId="1BAC18E5" w:rsidR="00CB688C" w:rsidRPr="00241284" w:rsidRDefault="00473F25" w:rsidP="00AF5ED0">
      <w:pPr>
        <w:jc w:val="both"/>
        <w:rPr>
          <w:sz w:val="24"/>
          <w:szCs w:val="24"/>
        </w:rPr>
      </w:pPr>
      <w:r w:rsidRPr="00241284">
        <w:rPr>
          <w:sz w:val="24"/>
          <w:szCs w:val="24"/>
        </w:rPr>
        <w:t xml:space="preserve">Gli indicatori del Codice della Crisi d’Impresa e dell’Insolvenza (CCII) sono strumenti essenziali per prevenire situazioni di dissesto economico, favorendo la rilevazione tempestiva di squilibri patrimoniali, economici e finanziari. Attraverso parametri oggettivi e soglie normative, questi indicatori consentono di monitorare la sostenibilità aziendale e di identificare i segnali di crisi in modo sistematico. L’articolo illustra un approccio operativo per applicare gli strumenti previsti dal CCII, articolando l’analisi in due fasi: la verifica degli indicatori e l’emissione di un giudizio conforme alle disposizioni di legge, con particolare attenzione al ruolo determinante degli assetti organizzativi e amministrativi adeguati </w:t>
      </w:r>
      <w:proofErr w:type="gramStart"/>
      <w:r w:rsidRPr="00241284">
        <w:rPr>
          <w:sz w:val="24"/>
          <w:szCs w:val="24"/>
        </w:rPr>
        <w:t>per</w:t>
      </w:r>
      <w:proofErr w:type="gramEnd"/>
      <w:r w:rsidRPr="00241284">
        <w:rPr>
          <w:sz w:val="24"/>
          <w:szCs w:val="24"/>
        </w:rPr>
        <w:t xml:space="preserve"> garantire la continuità dell’impresa.</w:t>
      </w:r>
    </w:p>
    <w:p w14:paraId="5C7C3145" w14:textId="77777777" w:rsidR="00473F25" w:rsidRPr="00241284" w:rsidRDefault="00473F25" w:rsidP="00AF5ED0">
      <w:pPr>
        <w:jc w:val="both"/>
        <w:rPr>
          <w:sz w:val="24"/>
          <w:szCs w:val="24"/>
        </w:rPr>
      </w:pPr>
    </w:p>
    <w:p w14:paraId="020535F0" w14:textId="77777777" w:rsidR="00473F25" w:rsidRPr="00241284" w:rsidRDefault="00473F25" w:rsidP="00AF5ED0">
      <w:pPr>
        <w:jc w:val="both"/>
        <w:rPr>
          <w:b/>
          <w:bCs/>
          <w:sz w:val="24"/>
          <w:szCs w:val="24"/>
        </w:rPr>
      </w:pPr>
      <w:r w:rsidRPr="00241284">
        <w:rPr>
          <w:b/>
          <w:bCs/>
          <w:sz w:val="24"/>
          <w:szCs w:val="24"/>
        </w:rPr>
        <w:t>Introduzione</w:t>
      </w:r>
    </w:p>
    <w:p w14:paraId="2C1FC344" w14:textId="77777777" w:rsidR="00473F25" w:rsidRPr="00241284" w:rsidRDefault="00473F25" w:rsidP="00AF5ED0">
      <w:pPr>
        <w:jc w:val="both"/>
        <w:rPr>
          <w:sz w:val="24"/>
          <w:szCs w:val="24"/>
        </w:rPr>
      </w:pPr>
      <w:r w:rsidRPr="00241284">
        <w:rPr>
          <w:sz w:val="24"/>
          <w:szCs w:val="24"/>
        </w:rPr>
        <w:t xml:space="preserve">Il Codice della Crisi d’Impresa e dell’Insolvenza (CCII) è stato introdotto con l’obiettivo di rafforzare la capacità delle imprese di individuare precocemente segnali di crisi, consentendo interventi tempestivi per evitarne il deterioramento. L’articolo 3 del CCII stabilisce un quadro di riferimento normativo che richiede agli imprenditori di adottare misure idonee a monitorare gli squilibri patrimoniali, economici e finanziari, nonché di istituire assetti organizzativi adeguati </w:t>
      </w:r>
      <w:proofErr w:type="gramStart"/>
      <w:r w:rsidRPr="00241284">
        <w:rPr>
          <w:sz w:val="24"/>
          <w:szCs w:val="24"/>
        </w:rPr>
        <w:t>per</w:t>
      </w:r>
      <w:proofErr w:type="gramEnd"/>
      <w:r w:rsidRPr="00241284">
        <w:rPr>
          <w:sz w:val="24"/>
          <w:szCs w:val="24"/>
        </w:rPr>
        <w:t xml:space="preserve"> garantire la sostenibilità aziendale.</w:t>
      </w:r>
    </w:p>
    <w:p w14:paraId="6E5CF749" w14:textId="77777777" w:rsidR="00473F25" w:rsidRPr="00241284" w:rsidRDefault="00473F25" w:rsidP="00AF5ED0">
      <w:pPr>
        <w:jc w:val="both"/>
        <w:rPr>
          <w:sz w:val="24"/>
          <w:szCs w:val="24"/>
        </w:rPr>
      </w:pPr>
      <w:r w:rsidRPr="00241284">
        <w:rPr>
          <w:sz w:val="24"/>
          <w:szCs w:val="24"/>
        </w:rPr>
        <w:t>La normativa, attraverso specifici indicatori e soglie, rende obbligatoria la rilevazione di potenziali criticità e richiede l’assunzione di iniziative risolutive. Questi obblighi si applicano a tutte le imprese, con modalità diverse per quelle individuali e collettive, e mirano a prevenire l’insolvenza attraverso un approccio strutturato alla gestione del rischio.</w:t>
      </w:r>
    </w:p>
    <w:p w14:paraId="4200CCB8" w14:textId="0EAEF9C1" w:rsidR="00473F25" w:rsidRPr="00241284" w:rsidRDefault="00473F25" w:rsidP="00AF5ED0">
      <w:pPr>
        <w:jc w:val="both"/>
        <w:rPr>
          <w:sz w:val="24"/>
          <w:szCs w:val="24"/>
        </w:rPr>
      </w:pPr>
      <w:r w:rsidRPr="00241284">
        <w:rPr>
          <w:sz w:val="24"/>
          <w:szCs w:val="24"/>
        </w:rPr>
        <w:t>In questo articolo esploreremo come applicare operativamente gli strumenti previsti dal CCII, focalizzandoci su due passaggi fondamentali: la verifica degli indicatori normativi e l’emissione di un giudizio, essenziale per determinare lo stato di crisi dell’impresa.</w:t>
      </w:r>
    </w:p>
    <w:p w14:paraId="0CBABCCA" w14:textId="77777777" w:rsidR="00241284" w:rsidRPr="00241284" w:rsidRDefault="00241284" w:rsidP="00241284">
      <w:pPr>
        <w:keepNext/>
        <w:jc w:val="both"/>
        <w:rPr>
          <w:sz w:val="24"/>
          <w:szCs w:val="24"/>
        </w:rPr>
      </w:pPr>
      <w:r w:rsidRPr="00241284">
        <w:rPr>
          <w:sz w:val="24"/>
          <w:szCs w:val="24"/>
        </w:rPr>
        <w:drawing>
          <wp:inline distT="0" distB="0" distL="0" distR="0" wp14:anchorId="3B2E3AB2" wp14:editId="60EC4092">
            <wp:extent cx="6057900" cy="1470660"/>
            <wp:effectExtent l="0" t="0" r="0" b="0"/>
            <wp:docPr id="26672333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7900" cy="1470660"/>
                    </a:xfrm>
                    <a:prstGeom prst="rect">
                      <a:avLst/>
                    </a:prstGeom>
                    <a:noFill/>
                    <a:ln>
                      <a:noFill/>
                    </a:ln>
                  </pic:spPr>
                </pic:pic>
              </a:graphicData>
            </a:graphic>
          </wp:inline>
        </w:drawing>
      </w:r>
    </w:p>
    <w:p w14:paraId="31500E39" w14:textId="78A45BEB" w:rsidR="00241284"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1</w:t>
      </w:r>
      <w:r w:rsidRPr="00241284">
        <w:rPr>
          <w:sz w:val="24"/>
          <w:szCs w:val="24"/>
        </w:rPr>
        <w:fldChar w:fldCharType="end"/>
      </w:r>
      <w:r w:rsidRPr="00241284">
        <w:rPr>
          <w:sz w:val="24"/>
          <w:szCs w:val="24"/>
        </w:rPr>
        <w:t>: Il frontespizio del tool</w:t>
      </w:r>
    </w:p>
    <w:p w14:paraId="2307370C" w14:textId="77777777" w:rsidR="00473F25" w:rsidRPr="00241284" w:rsidRDefault="00473F25" w:rsidP="00AF5ED0">
      <w:pPr>
        <w:jc w:val="both"/>
        <w:rPr>
          <w:sz w:val="24"/>
          <w:szCs w:val="24"/>
        </w:rPr>
      </w:pPr>
    </w:p>
    <w:p w14:paraId="0740D7F5" w14:textId="77777777" w:rsidR="00473F25" w:rsidRPr="00241284" w:rsidRDefault="00473F25" w:rsidP="00AF5ED0">
      <w:pPr>
        <w:jc w:val="both"/>
        <w:rPr>
          <w:b/>
          <w:bCs/>
          <w:sz w:val="24"/>
          <w:szCs w:val="24"/>
        </w:rPr>
      </w:pPr>
      <w:r w:rsidRPr="00241284">
        <w:rPr>
          <w:b/>
          <w:bCs/>
          <w:sz w:val="24"/>
          <w:szCs w:val="24"/>
        </w:rPr>
        <w:t>Primo Step: Verifica degli Indicatori</w:t>
      </w:r>
    </w:p>
    <w:p w14:paraId="48D2069C" w14:textId="77777777" w:rsidR="00473F25" w:rsidRPr="00241284" w:rsidRDefault="00473F25" w:rsidP="00AF5ED0">
      <w:pPr>
        <w:jc w:val="both"/>
        <w:rPr>
          <w:sz w:val="24"/>
          <w:szCs w:val="24"/>
        </w:rPr>
      </w:pPr>
      <w:r w:rsidRPr="00241284">
        <w:rPr>
          <w:sz w:val="24"/>
          <w:szCs w:val="24"/>
        </w:rPr>
        <w:t xml:space="preserve">La prima fase per applicare gli strumenti del Codice della Crisi d’Impresa consiste nella verifica degli indicatori previsti dall’articolo 3 del CCII. Questi parametri rappresentano una guida per </w:t>
      </w:r>
      <w:r w:rsidRPr="00241284">
        <w:rPr>
          <w:sz w:val="24"/>
          <w:szCs w:val="24"/>
        </w:rPr>
        <w:lastRenderedPageBreak/>
        <w:t>rilevare tempestivamente squilibri patrimoniali, economici e finanziari che potrebbero compromettere la continuità aziendale. Ogni indicatore deve essere calcolato con precisione e confrontato con le soglie critiche stabilite dalla normativa.</w:t>
      </w:r>
    </w:p>
    <w:p w14:paraId="0FDC3723" w14:textId="77777777" w:rsidR="00AF5ED0" w:rsidRPr="00241284" w:rsidRDefault="00473F25" w:rsidP="00AF5ED0">
      <w:pPr>
        <w:pStyle w:val="Paragrafoelenco"/>
        <w:numPr>
          <w:ilvl w:val="0"/>
          <w:numId w:val="1"/>
        </w:numPr>
        <w:jc w:val="both"/>
        <w:rPr>
          <w:sz w:val="24"/>
          <w:szCs w:val="24"/>
        </w:rPr>
      </w:pPr>
      <w:r w:rsidRPr="00241284">
        <w:rPr>
          <w:sz w:val="24"/>
          <w:szCs w:val="24"/>
        </w:rPr>
        <w:t>Debiti scaduti da oltre 90 giorni/Debiti totali (soglia &lt; 0,5)</w:t>
      </w:r>
    </w:p>
    <w:p w14:paraId="2618BBF3" w14:textId="616F8F60" w:rsidR="00473F25" w:rsidRPr="00241284" w:rsidRDefault="00473F25" w:rsidP="00AF5ED0">
      <w:pPr>
        <w:pStyle w:val="Paragrafoelenco"/>
        <w:jc w:val="both"/>
        <w:rPr>
          <w:sz w:val="24"/>
          <w:szCs w:val="24"/>
        </w:rPr>
      </w:pPr>
      <w:r w:rsidRPr="00241284">
        <w:rPr>
          <w:sz w:val="24"/>
          <w:szCs w:val="24"/>
        </w:rPr>
        <w:t>Questo indicatore valuta la capacità dell’impresa di rispettare le scadenze finanziarie. Un valore superiore al 50% segnala una possibile difficoltà nella gestione dei debiti.</w:t>
      </w:r>
    </w:p>
    <w:p w14:paraId="113D234E" w14:textId="31440405" w:rsidR="00241284" w:rsidRPr="00241284" w:rsidRDefault="00AF5ED0" w:rsidP="00241284">
      <w:pPr>
        <w:keepNext/>
        <w:jc w:val="both"/>
        <w:rPr>
          <w:sz w:val="24"/>
          <w:szCs w:val="24"/>
        </w:rPr>
      </w:pPr>
      <w:r w:rsidRPr="00241284">
        <w:rPr>
          <w:sz w:val="24"/>
          <w:szCs w:val="24"/>
        </w:rPr>
        <w:drawing>
          <wp:inline distT="0" distB="0" distL="0" distR="0" wp14:anchorId="5687AB6B" wp14:editId="4A8E9643">
            <wp:extent cx="6050811" cy="967740"/>
            <wp:effectExtent l="0" t="0" r="7620" b="0"/>
            <wp:docPr id="16568662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3618" cy="974586"/>
                    </a:xfrm>
                    <a:prstGeom prst="rect">
                      <a:avLst/>
                    </a:prstGeom>
                    <a:noFill/>
                    <a:ln>
                      <a:noFill/>
                    </a:ln>
                  </pic:spPr>
                </pic:pic>
              </a:graphicData>
            </a:graphic>
          </wp:inline>
        </w:drawing>
      </w:r>
    </w:p>
    <w:p w14:paraId="04A5C4A4" w14:textId="66F8D2F8" w:rsidR="00AF5ED0"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2</w:t>
      </w:r>
      <w:r w:rsidRPr="00241284">
        <w:rPr>
          <w:sz w:val="24"/>
          <w:szCs w:val="24"/>
        </w:rPr>
        <w:fldChar w:fldCharType="end"/>
      </w:r>
      <w:r w:rsidRPr="00241284">
        <w:rPr>
          <w:sz w:val="24"/>
          <w:szCs w:val="24"/>
        </w:rPr>
        <w:t>: Debiti scaduti da oltre 90 giorni/Debiti totali</w:t>
      </w:r>
    </w:p>
    <w:p w14:paraId="6EB51EEF" w14:textId="77777777" w:rsidR="00AF5ED0" w:rsidRPr="00241284" w:rsidRDefault="00473F25" w:rsidP="00AF5ED0">
      <w:pPr>
        <w:pStyle w:val="Paragrafoelenco"/>
        <w:numPr>
          <w:ilvl w:val="0"/>
          <w:numId w:val="1"/>
        </w:numPr>
        <w:jc w:val="both"/>
        <w:rPr>
          <w:sz w:val="24"/>
          <w:szCs w:val="24"/>
        </w:rPr>
      </w:pPr>
      <w:r w:rsidRPr="00241284">
        <w:rPr>
          <w:sz w:val="24"/>
          <w:szCs w:val="24"/>
        </w:rPr>
        <w:t>Debiti verso dipendenti scaduti da oltre 30 giorni/Importo complessivo delle retribuzioni (soglia &lt; 2)</w:t>
      </w:r>
    </w:p>
    <w:p w14:paraId="1AED1B96" w14:textId="663A8960" w:rsidR="00473F25" w:rsidRPr="00241284" w:rsidRDefault="00473F25" w:rsidP="00AF5ED0">
      <w:pPr>
        <w:pStyle w:val="Paragrafoelenco"/>
        <w:jc w:val="both"/>
        <w:rPr>
          <w:sz w:val="24"/>
          <w:szCs w:val="24"/>
        </w:rPr>
      </w:pPr>
      <w:r w:rsidRPr="00241284">
        <w:rPr>
          <w:sz w:val="24"/>
          <w:szCs w:val="24"/>
        </w:rPr>
        <w:t xml:space="preserve">La regolarità nei pagamenti ai dipendenti è un elemento essenziale per garantire la continuità operativa. Un valore superiore a </w:t>
      </w:r>
      <w:proofErr w:type="gramStart"/>
      <w:r w:rsidRPr="00241284">
        <w:rPr>
          <w:sz w:val="24"/>
          <w:szCs w:val="24"/>
        </w:rPr>
        <w:t>2</w:t>
      </w:r>
      <w:proofErr w:type="gramEnd"/>
      <w:r w:rsidRPr="00241284">
        <w:rPr>
          <w:sz w:val="24"/>
          <w:szCs w:val="24"/>
        </w:rPr>
        <w:t xml:space="preserve"> indica uno squilibrio rilevante.</w:t>
      </w:r>
    </w:p>
    <w:p w14:paraId="50F92C96" w14:textId="77777777" w:rsidR="00241284" w:rsidRPr="00241284" w:rsidRDefault="00AF5ED0" w:rsidP="00241284">
      <w:pPr>
        <w:keepNext/>
        <w:jc w:val="both"/>
        <w:rPr>
          <w:sz w:val="24"/>
          <w:szCs w:val="24"/>
        </w:rPr>
      </w:pPr>
      <w:r w:rsidRPr="00241284">
        <w:rPr>
          <w:sz w:val="24"/>
          <w:szCs w:val="24"/>
        </w:rPr>
        <w:drawing>
          <wp:inline distT="0" distB="0" distL="0" distR="0" wp14:anchorId="19889DC4" wp14:editId="338CB898">
            <wp:extent cx="6117075" cy="1264920"/>
            <wp:effectExtent l="0" t="0" r="0" b="0"/>
            <wp:docPr id="142639167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32" cy="1265676"/>
                    </a:xfrm>
                    <a:prstGeom prst="rect">
                      <a:avLst/>
                    </a:prstGeom>
                    <a:noFill/>
                    <a:ln>
                      <a:noFill/>
                    </a:ln>
                  </pic:spPr>
                </pic:pic>
              </a:graphicData>
            </a:graphic>
          </wp:inline>
        </w:drawing>
      </w:r>
    </w:p>
    <w:p w14:paraId="3E0551EB" w14:textId="35AD66F2" w:rsidR="00AF5ED0"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3</w:t>
      </w:r>
      <w:r w:rsidRPr="00241284">
        <w:rPr>
          <w:sz w:val="24"/>
          <w:szCs w:val="24"/>
        </w:rPr>
        <w:fldChar w:fldCharType="end"/>
      </w:r>
      <w:r w:rsidRPr="00241284">
        <w:rPr>
          <w:sz w:val="24"/>
          <w:szCs w:val="24"/>
        </w:rPr>
        <w:t>: Debiti verso dipendenti scaduti da oltre 30 giorni/Importo complessivo delle retribuzioni</w:t>
      </w:r>
    </w:p>
    <w:p w14:paraId="19D5385D" w14:textId="77777777" w:rsidR="004E61B8" w:rsidRPr="00241284" w:rsidRDefault="00473F25" w:rsidP="00AF5ED0">
      <w:pPr>
        <w:pStyle w:val="Paragrafoelenco"/>
        <w:numPr>
          <w:ilvl w:val="0"/>
          <w:numId w:val="1"/>
        </w:numPr>
        <w:jc w:val="both"/>
        <w:rPr>
          <w:sz w:val="24"/>
          <w:szCs w:val="24"/>
        </w:rPr>
      </w:pPr>
      <w:r w:rsidRPr="00241284">
        <w:rPr>
          <w:sz w:val="24"/>
          <w:szCs w:val="24"/>
        </w:rPr>
        <w:t>Sconfino oltre 60 giorni/Totale delle esposizioni (soglia &gt; 0,05)</w:t>
      </w:r>
    </w:p>
    <w:p w14:paraId="2C4CEA57" w14:textId="30B48EC0" w:rsidR="00473F25" w:rsidRPr="00241284" w:rsidRDefault="00473F25" w:rsidP="004E61B8">
      <w:pPr>
        <w:pStyle w:val="Paragrafoelenco"/>
        <w:jc w:val="both"/>
        <w:rPr>
          <w:sz w:val="24"/>
          <w:szCs w:val="24"/>
        </w:rPr>
      </w:pPr>
      <w:r w:rsidRPr="00241284">
        <w:rPr>
          <w:sz w:val="24"/>
          <w:szCs w:val="24"/>
        </w:rPr>
        <w:t>Questo parametro misura il grado di utilizzo degli affidamenti bancari. Superare il 5% del totale delle esposizioni bancarie segnala una possibile tensione finanziaria.</w:t>
      </w:r>
    </w:p>
    <w:p w14:paraId="0639E4E2" w14:textId="77777777" w:rsidR="00241284" w:rsidRPr="00241284" w:rsidRDefault="004E61B8" w:rsidP="00241284">
      <w:pPr>
        <w:keepNext/>
        <w:jc w:val="both"/>
        <w:rPr>
          <w:sz w:val="24"/>
          <w:szCs w:val="24"/>
        </w:rPr>
      </w:pPr>
      <w:r w:rsidRPr="00241284">
        <w:rPr>
          <w:sz w:val="24"/>
          <w:szCs w:val="24"/>
        </w:rPr>
        <w:drawing>
          <wp:inline distT="0" distB="0" distL="0" distR="0" wp14:anchorId="77F99FE5" wp14:editId="60A70075">
            <wp:extent cx="6035040" cy="1394202"/>
            <wp:effectExtent l="0" t="0" r="3810" b="0"/>
            <wp:docPr id="20887093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1584" cy="1398024"/>
                    </a:xfrm>
                    <a:prstGeom prst="rect">
                      <a:avLst/>
                    </a:prstGeom>
                    <a:noFill/>
                    <a:ln>
                      <a:noFill/>
                    </a:ln>
                  </pic:spPr>
                </pic:pic>
              </a:graphicData>
            </a:graphic>
          </wp:inline>
        </w:drawing>
      </w:r>
    </w:p>
    <w:p w14:paraId="4E1D9056" w14:textId="5AD3E19D" w:rsidR="004E61B8"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4</w:t>
      </w:r>
      <w:r w:rsidRPr="00241284">
        <w:rPr>
          <w:sz w:val="24"/>
          <w:szCs w:val="24"/>
        </w:rPr>
        <w:fldChar w:fldCharType="end"/>
      </w:r>
      <w:r w:rsidRPr="00241284">
        <w:rPr>
          <w:sz w:val="24"/>
          <w:szCs w:val="24"/>
        </w:rPr>
        <w:t>: Sconfino oltre 60 giorni/Totale delle esposizioni</w:t>
      </w:r>
    </w:p>
    <w:p w14:paraId="11057B8E" w14:textId="77777777" w:rsidR="004E61B8" w:rsidRPr="00241284" w:rsidRDefault="00473F25" w:rsidP="00AF5ED0">
      <w:pPr>
        <w:pStyle w:val="Paragrafoelenco"/>
        <w:numPr>
          <w:ilvl w:val="0"/>
          <w:numId w:val="1"/>
        </w:numPr>
        <w:jc w:val="both"/>
        <w:rPr>
          <w:sz w:val="24"/>
          <w:szCs w:val="24"/>
        </w:rPr>
      </w:pPr>
      <w:r w:rsidRPr="00241284">
        <w:rPr>
          <w:sz w:val="24"/>
          <w:szCs w:val="24"/>
        </w:rPr>
        <w:t>Contributi INPS scaduti da oltre 90 giorni (soglia &gt; 15.000 euro)</w:t>
      </w:r>
    </w:p>
    <w:p w14:paraId="23DA10CA" w14:textId="0CF7946B" w:rsidR="00EC70AE" w:rsidRPr="00241284" w:rsidRDefault="00473F25" w:rsidP="004E61B8">
      <w:pPr>
        <w:pStyle w:val="Paragrafoelenco"/>
        <w:jc w:val="both"/>
        <w:rPr>
          <w:sz w:val="24"/>
          <w:szCs w:val="24"/>
        </w:rPr>
      </w:pPr>
      <w:r w:rsidRPr="00241284">
        <w:rPr>
          <w:sz w:val="24"/>
          <w:szCs w:val="24"/>
        </w:rPr>
        <w:t>L’accumulo di debiti previdenziali rappresenta un rischio significativo per la solidità dell’impresa.</w:t>
      </w:r>
    </w:p>
    <w:p w14:paraId="35802817" w14:textId="77777777" w:rsidR="00241284" w:rsidRPr="00241284" w:rsidRDefault="004E61B8" w:rsidP="00241284">
      <w:pPr>
        <w:keepNext/>
        <w:jc w:val="both"/>
        <w:rPr>
          <w:sz w:val="24"/>
          <w:szCs w:val="24"/>
        </w:rPr>
      </w:pPr>
      <w:r w:rsidRPr="00241284">
        <w:rPr>
          <w:sz w:val="24"/>
          <w:szCs w:val="24"/>
        </w:rPr>
        <w:lastRenderedPageBreak/>
        <w:drawing>
          <wp:inline distT="0" distB="0" distL="0" distR="0" wp14:anchorId="1A20D8CD" wp14:editId="567638CA">
            <wp:extent cx="5859780" cy="1202248"/>
            <wp:effectExtent l="0" t="0" r="7620" b="0"/>
            <wp:docPr id="211409229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233" cy="1209932"/>
                    </a:xfrm>
                    <a:prstGeom prst="rect">
                      <a:avLst/>
                    </a:prstGeom>
                    <a:noFill/>
                    <a:ln>
                      <a:noFill/>
                    </a:ln>
                  </pic:spPr>
                </pic:pic>
              </a:graphicData>
            </a:graphic>
          </wp:inline>
        </w:drawing>
      </w:r>
    </w:p>
    <w:p w14:paraId="77C3B859" w14:textId="3DBE2215" w:rsidR="004E61B8"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5</w:t>
      </w:r>
      <w:r w:rsidRPr="00241284">
        <w:rPr>
          <w:sz w:val="24"/>
          <w:szCs w:val="24"/>
        </w:rPr>
        <w:fldChar w:fldCharType="end"/>
      </w:r>
      <w:r w:rsidRPr="00241284">
        <w:rPr>
          <w:sz w:val="24"/>
          <w:szCs w:val="24"/>
        </w:rPr>
        <w:t>: Contributi INPS scaduti da oltre 90 giorni</w:t>
      </w:r>
    </w:p>
    <w:p w14:paraId="231193D9" w14:textId="77777777" w:rsidR="00241284" w:rsidRPr="00241284" w:rsidRDefault="00473F25" w:rsidP="00AF5ED0">
      <w:pPr>
        <w:pStyle w:val="Paragrafoelenco"/>
        <w:numPr>
          <w:ilvl w:val="0"/>
          <w:numId w:val="1"/>
        </w:numPr>
        <w:jc w:val="both"/>
        <w:rPr>
          <w:sz w:val="24"/>
          <w:szCs w:val="24"/>
        </w:rPr>
      </w:pPr>
      <w:r w:rsidRPr="00241284">
        <w:rPr>
          <w:sz w:val="24"/>
          <w:szCs w:val="24"/>
        </w:rPr>
        <w:t>Contributi INAIL scaduti da oltre 90 giorni (soglia &gt; 5.000 euro)</w:t>
      </w:r>
    </w:p>
    <w:p w14:paraId="22C3550C" w14:textId="309A1B2E" w:rsidR="00EC70AE" w:rsidRPr="00241284" w:rsidRDefault="00473F25" w:rsidP="00241284">
      <w:pPr>
        <w:pStyle w:val="Paragrafoelenco"/>
        <w:jc w:val="both"/>
        <w:rPr>
          <w:sz w:val="24"/>
          <w:szCs w:val="24"/>
        </w:rPr>
      </w:pPr>
      <w:r w:rsidRPr="00241284">
        <w:rPr>
          <w:sz w:val="24"/>
          <w:szCs w:val="24"/>
        </w:rPr>
        <w:t>Anche in questo caso, un superamento della soglia indica difficoltà nella gestione dei flussi finanziari.</w:t>
      </w:r>
    </w:p>
    <w:p w14:paraId="6A8B0307" w14:textId="77777777" w:rsidR="00241284" w:rsidRPr="00241284" w:rsidRDefault="004E61B8" w:rsidP="00241284">
      <w:pPr>
        <w:keepNext/>
        <w:ind w:left="360"/>
        <w:jc w:val="both"/>
        <w:rPr>
          <w:sz w:val="24"/>
          <w:szCs w:val="24"/>
        </w:rPr>
      </w:pPr>
      <w:r w:rsidRPr="00241284">
        <w:rPr>
          <w:sz w:val="24"/>
          <w:szCs w:val="24"/>
        </w:rPr>
        <w:drawing>
          <wp:inline distT="0" distB="0" distL="0" distR="0" wp14:anchorId="09DBFBD3" wp14:editId="67C015C3">
            <wp:extent cx="5821680" cy="1043952"/>
            <wp:effectExtent l="0" t="0" r="7620" b="0"/>
            <wp:docPr id="2323259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8834" cy="1047028"/>
                    </a:xfrm>
                    <a:prstGeom prst="rect">
                      <a:avLst/>
                    </a:prstGeom>
                    <a:noFill/>
                    <a:ln>
                      <a:noFill/>
                    </a:ln>
                  </pic:spPr>
                </pic:pic>
              </a:graphicData>
            </a:graphic>
          </wp:inline>
        </w:drawing>
      </w:r>
    </w:p>
    <w:p w14:paraId="65A26963" w14:textId="63AF55B0" w:rsidR="004E61B8"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6</w:t>
      </w:r>
      <w:r w:rsidRPr="00241284">
        <w:rPr>
          <w:sz w:val="24"/>
          <w:szCs w:val="24"/>
        </w:rPr>
        <w:fldChar w:fldCharType="end"/>
      </w:r>
      <w:r w:rsidRPr="00241284">
        <w:rPr>
          <w:sz w:val="24"/>
          <w:szCs w:val="24"/>
        </w:rPr>
        <w:t>: Contributi INAIL scaduti da oltre 90 giorni</w:t>
      </w:r>
    </w:p>
    <w:p w14:paraId="616D3C40" w14:textId="77777777" w:rsidR="00241284" w:rsidRPr="00241284" w:rsidRDefault="00473F25" w:rsidP="00AF5ED0">
      <w:pPr>
        <w:pStyle w:val="Paragrafoelenco"/>
        <w:numPr>
          <w:ilvl w:val="0"/>
          <w:numId w:val="1"/>
        </w:numPr>
        <w:jc w:val="both"/>
        <w:rPr>
          <w:sz w:val="24"/>
          <w:szCs w:val="24"/>
        </w:rPr>
      </w:pPr>
      <w:r w:rsidRPr="00241284">
        <w:rPr>
          <w:sz w:val="24"/>
          <w:szCs w:val="24"/>
        </w:rPr>
        <w:t>Debiti IVA scaduti (soglia &gt; 100.000 euro)</w:t>
      </w:r>
    </w:p>
    <w:p w14:paraId="395170E8" w14:textId="05F34A12" w:rsidR="00EC70AE" w:rsidRPr="00241284" w:rsidRDefault="00473F25" w:rsidP="00241284">
      <w:pPr>
        <w:pStyle w:val="Paragrafoelenco"/>
        <w:jc w:val="both"/>
        <w:rPr>
          <w:sz w:val="24"/>
          <w:szCs w:val="24"/>
        </w:rPr>
      </w:pPr>
      <w:r w:rsidRPr="00241284">
        <w:rPr>
          <w:sz w:val="24"/>
          <w:szCs w:val="24"/>
        </w:rPr>
        <w:t>Il mancato pagamento dell’IVA oltre questa soglia evidenzia problemi di liquidità che richiedono un immediato intervento.</w:t>
      </w:r>
    </w:p>
    <w:p w14:paraId="2B72401E" w14:textId="77777777" w:rsidR="00241284" w:rsidRPr="00241284" w:rsidRDefault="004E61B8" w:rsidP="00241284">
      <w:pPr>
        <w:keepNext/>
        <w:jc w:val="both"/>
        <w:rPr>
          <w:sz w:val="24"/>
          <w:szCs w:val="24"/>
        </w:rPr>
      </w:pPr>
      <w:r w:rsidRPr="00241284">
        <w:rPr>
          <w:sz w:val="24"/>
          <w:szCs w:val="24"/>
        </w:rPr>
        <w:drawing>
          <wp:inline distT="0" distB="0" distL="0" distR="0" wp14:anchorId="6A236B06" wp14:editId="67E3758B">
            <wp:extent cx="6088380" cy="1160629"/>
            <wp:effectExtent l="0" t="0" r="0" b="0"/>
            <wp:docPr id="141149577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7480" cy="1166176"/>
                    </a:xfrm>
                    <a:prstGeom prst="rect">
                      <a:avLst/>
                    </a:prstGeom>
                    <a:noFill/>
                    <a:ln>
                      <a:noFill/>
                    </a:ln>
                  </pic:spPr>
                </pic:pic>
              </a:graphicData>
            </a:graphic>
          </wp:inline>
        </w:drawing>
      </w:r>
    </w:p>
    <w:p w14:paraId="73256205" w14:textId="16E4A974" w:rsidR="00241284"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7</w:t>
      </w:r>
      <w:r w:rsidRPr="00241284">
        <w:rPr>
          <w:sz w:val="24"/>
          <w:szCs w:val="24"/>
        </w:rPr>
        <w:fldChar w:fldCharType="end"/>
      </w:r>
      <w:r w:rsidRPr="00241284">
        <w:rPr>
          <w:sz w:val="24"/>
          <w:szCs w:val="24"/>
        </w:rPr>
        <w:t>: Debiti IVA scaduti</w:t>
      </w:r>
    </w:p>
    <w:p w14:paraId="7F0DE8C1" w14:textId="77777777" w:rsidR="00241284" w:rsidRPr="00241284" w:rsidRDefault="00473F25" w:rsidP="00AF5ED0">
      <w:pPr>
        <w:pStyle w:val="Paragrafoelenco"/>
        <w:numPr>
          <w:ilvl w:val="0"/>
          <w:numId w:val="1"/>
        </w:numPr>
        <w:jc w:val="both"/>
        <w:rPr>
          <w:sz w:val="24"/>
          <w:szCs w:val="24"/>
        </w:rPr>
      </w:pPr>
      <w:r w:rsidRPr="00241284">
        <w:rPr>
          <w:sz w:val="24"/>
          <w:szCs w:val="24"/>
        </w:rPr>
        <w:t>Debiti verso Agenzia delle Entrate e Riscossione (soglia &gt; 100.000 euro)</w:t>
      </w:r>
    </w:p>
    <w:p w14:paraId="62498BA3" w14:textId="6F53DB38" w:rsidR="00473F25" w:rsidRPr="00241284" w:rsidRDefault="00473F25" w:rsidP="00241284">
      <w:pPr>
        <w:pStyle w:val="Paragrafoelenco"/>
        <w:jc w:val="both"/>
        <w:rPr>
          <w:sz w:val="24"/>
          <w:szCs w:val="24"/>
        </w:rPr>
      </w:pPr>
      <w:r w:rsidRPr="00241284">
        <w:rPr>
          <w:sz w:val="24"/>
          <w:szCs w:val="24"/>
        </w:rPr>
        <w:t>Un livello di esposizione fiscale di questa entità rappresenta un segnale chiaro di potenziale crisi.</w:t>
      </w:r>
    </w:p>
    <w:p w14:paraId="33535833" w14:textId="77777777" w:rsidR="00241284" w:rsidRPr="00241284" w:rsidRDefault="004E61B8" w:rsidP="00241284">
      <w:pPr>
        <w:keepNext/>
        <w:jc w:val="both"/>
        <w:rPr>
          <w:sz w:val="24"/>
          <w:szCs w:val="24"/>
        </w:rPr>
      </w:pPr>
      <w:r w:rsidRPr="00241284">
        <w:rPr>
          <w:sz w:val="24"/>
          <w:szCs w:val="24"/>
        </w:rPr>
        <w:drawing>
          <wp:inline distT="0" distB="0" distL="0" distR="0" wp14:anchorId="0505A78D" wp14:editId="791B6D69">
            <wp:extent cx="6019800" cy="923879"/>
            <wp:effectExtent l="0" t="0" r="0" b="0"/>
            <wp:docPr id="23231759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7880" cy="937397"/>
                    </a:xfrm>
                    <a:prstGeom prst="rect">
                      <a:avLst/>
                    </a:prstGeom>
                    <a:noFill/>
                    <a:ln>
                      <a:noFill/>
                    </a:ln>
                  </pic:spPr>
                </pic:pic>
              </a:graphicData>
            </a:graphic>
          </wp:inline>
        </w:drawing>
      </w:r>
    </w:p>
    <w:p w14:paraId="7636E1EE" w14:textId="2C39C3CE" w:rsidR="00241284"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8</w:t>
      </w:r>
      <w:r w:rsidRPr="00241284">
        <w:rPr>
          <w:sz w:val="24"/>
          <w:szCs w:val="24"/>
        </w:rPr>
        <w:fldChar w:fldCharType="end"/>
      </w:r>
      <w:r w:rsidRPr="00241284">
        <w:rPr>
          <w:sz w:val="24"/>
          <w:szCs w:val="24"/>
        </w:rPr>
        <w:t>: Debiti verso Agenzia delle Entrate e Riscossione</w:t>
      </w:r>
    </w:p>
    <w:p w14:paraId="3FDC245A" w14:textId="2E6F4284" w:rsidR="00473F25" w:rsidRPr="00241284" w:rsidRDefault="00473F25" w:rsidP="00AF5ED0">
      <w:pPr>
        <w:jc w:val="both"/>
        <w:rPr>
          <w:sz w:val="24"/>
          <w:szCs w:val="24"/>
        </w:rPr>
      </w:pPr>
      <w:r w:rsidRPr="00241284">
        <w:rPr>
          <w:sz w:val="24"/>
          <w:szCs w:val="24"/>
        </w:rPr>
        <w:t xml:space="preserve">Ogni indicatore deve essere analizzato con rigore e documentato in modo chiaro. La verifica non può limitarsi a un controllo formale, ma deve considerare il contesto specifico dell’impresa e l’evoluzione della sua situazione finanziaria. Superare anche solo una delle soglie critiche </w:t>
      </w:r>
      <w:r w:rsidRPr="00241284">
        <w:rPr>
          <w:sz w:val="24"/>
          <w:szCs w:val="24"/>
        </w:rPr>
        <w:lastRenderedPageBreak/>
        <w:t>richiede la qualificazione dello stato di crisi, come previsto dall’articolo 3 del CCII. Questo impone l’adozione di misure correttive tempestive da parte degli organi aziendali.</w:t>
      </w:r>
    </w:p>
    <w:p w14:paraId="40FC26C8" w14:textId="77777777" w:rsidR="00EC70AE" w:rsidRPr="00241284" w:rsidRDefault="00EC70AE" w:rsidP="00AF5ED0">
      <w:pPr>
        <w:jc w:val="both"/>
        <w:rPr>
          <w:sz w:val="24"/>
          <w:szCs w:val="24"/>
        </w:rPr>
      </w:pPr>
    </w:p>
    <w:p w14:paraId="5070E784" w14:textId="77777777" w:rsidR="00EC70AE" w:rsidRPr="00241284" w:rsidRDefault="00EC70AE" w:rsidP="00AF5ED0">
      <w:pPr>
        <w:jc w:val="both"/>
        <w:rPr>
          <w:b/>
          <w:bCs/>
          <w:sz w:val="24"/>
          <w:szCs w:val="24"/>
        </w:rPr>
      </w:pPr>
      <w:r w:rsidRPr="00241284">
        <w:rPr>
          <w:b/>
          <w:bCs/>
          <w:sz w:val="24"/>
          <w:szCs w:val="24"/>
        </w:rPr>
        <w:t>Secondo Step: Emissione del Giudizio</w:t>
      </w:r>
    </w:p>
    <w:p w14:paraId="2A6F75AB" w14:textId="77777777" w:rsidR="00EC70AE" w:rsidRPr="00241284" w:rsidRDefault="00EC70AE" w:rsidP="00AF5ED0">
      <w:pPr>
        <w:jc w:val="both"/>
        <w:rPr>
          <w:sz w:val="24"/>
          <w:szCs w:val="24"/>
        </w:rPr>
      </w:pPr>
      <w:r w:rsidRPr="00241284">
        <w:rPr>
          <w:sz w:val="24"/>
          <w:szCs w:val="24"/>
        </w:rPr>
        <w:t>La seconda fase consiste nell’emissione di un giudizio complessivo sulla situazione economico-finanziaria dell’impresa, basandosi sui risultati della verifica degli indicatori. Come stabilito dall’articolo 3 del Codice della Crisi d’Impresa e dell’Insolvenza (CCII), il superamento di anche solo una delle soglie critiche identifica l’azienda come in stato di crisi, con la necessità di adottare interventi immediati.</w:t>
      </w:r>
    </w:p>
    <w:p w14:paraId="43F27BFF" w14:textId="77777777" w:rsidR="00EC70AE" w:rsidRPr="00241284" w:rsidRDefault="00EC70AE" w:rsidP="00AF5ED0">
      <w:pPr>
        <w:jc w:val="both"/>
        <w:rPr>
          <w:sz w:val="24"/>
          <w:szCs w:val="24"/>
        </w:rPr>
      </w:pPr>
      <w:r w:rsidRPr="00241284">
        <w:rPr>
          <w:sz w:val="24"/>
          <w:szCs w:val="24"/>
        </w:rPr>
        <w:t>Processo di Emissione del Giudizio</w:t>
      </w:r>
    </w:p>
    <w:p w14:paraId="37B82142" w14:textId="77777777" w:rsidR="004E61B8" w:rsidRPr="00241284" w:rsidRDefault="00EC70AE" w:rsidP="004E61B8">
      <w:pPr>
        <w:pStyle w:val="Paragrafoelenco"/>
        <w:numPr>
          <w:ilvl w:val="0"/>
          <w:numId w:val="2"/>
        </w:numPr>
        <w:jc w:val="both"/>
        <w:rPr>
          <w:sz w:val="24"/>
          <w:szCs w:val="24"/>
        </w:rPr>
      </w:pPr>
      <w:r w:rsidRPr="00241284">
        <w:rPr>
          <w:sz w:val="24"/>
          <w:szCs w:val="24"/>
        </w:rPr>
        <w:t>Valutazione di conformità agli indicatori</w:t>
      </w:r>
    </w:p>
    <w:p w14:paraId="0174248E" w14:textId="3B794E28" w:rsidR="00EC70AE" w:rsidRPr="00241284" w:rsidRDefault="00EC70AE" w:rsidP="004E61B8">
      <w:pPr>
        <w:pStyle w:val="Paragrafoelenco"/>
        <w:jc w:val="both"/>
        <w:rPr>
          <w:sz w:val="24"/>
          <w:szCs w:val="24"/>
        </w:rPr>
      </w:pPr>
      <w:r w:rsidRPr="00241284">
        <w:rPr>
          <w:sz w:val="24"/>
          <w:szCs w:val="24"/>
        </w:rPr>
        <w:t>Dopo aver verificato tutti gli indicatori, è fondamentale determinare se essi rientrano nelle soglie stabilite. Il superamento di uno o più parametri implica automaticamente uno stato di crisi, indipendentemente dalla gravità percepita della situazione.</w:t>
      </w:r>
    </w:p>
    <w:p w14:paraId="3C2287F9" w14:textId="77777777" w:rsidR="004E61B8" w:rsidRPr="00241284" w:rsidRDefault="00EC70AE" w:rsidP="00AF5ED0">
      <w:pPr>
        <w:pStyle w:val="Paragrafoelenco"/>
        <w:numPr>
          <w:ilvl w:val="0"/>
          <w:numId w:val="2"/>
        </w:numPr>
        <w:jc w:val="both"/>
        <w:rPr>
          <w:sz w:val="24"/>
          <w:szCs w:val="24"/>
        </w:rPr>
      </w:pPr>
      <w:r w:rsidRPr="00241284">
        <w:rPr>
          <w:sz w:val="24"/>
          <w:szCs w:val="24"/>
        </w:rPr>
        <w:t>Obblighi normativi</w:t>
      </w:r>
    </w:p>
    <w:p w14:paraId="21277172" w14:textId="77777777" w:rsidR="00241284" w:rsidRPr="00241284" w:rsidRDefault="00EC70AE" w:rsidP="00241284">
      <w:pPr>
        <w:pStyle w:val="Paragrafoelenco"/>
        <w:jc w:val="both"/>
        <w:rPr>
          <w:sz w:val="24"/>
          <w:szCs w:val="24"/>
        </w:rPr>
      </w:pPr>
      <w:r w:rsidRPr="00241284">
        <w:rPr>
          <w:sz w:val="24"/>
          <w:szCs w:val="24"/>
        </w:rPr>
        <w:t xml:space="preserve">Qualora venga rilevata una situazione di crisi, l’impresa è obbligata a intervenire tempestivamente. Per le imprese individuali, ciò comporta l’adozione di misure dirette a ripristinare l’equilibrio economico-finanziario. Per le imprese collettive, è necessario che gli assetti organizzativi, amministrativi e contabili siano adeguati, come richiesto dall’articolo 2086 del </w:t>
      </w:r>
      <w:proofErr w:type="gramStart"/>
      <w:r w:rsidRPr="00241284">
        <w:rPr>
          <w:sz w:val="24"/>
          <w:szCs w:val="24"/>
        </w:rPr>
        <w:t>Codice Civile</w:t>
      </w:r>
      <w:proofErr w:type="gramEnd"/>
      <w:r w:rsidRPr="00241284">
        <w:rPr>
          <w:sz w:val="24"/>
          <w:szCs w:val="24"/>
        </w:rPr>
        <w:t>.</w:t>
      </w:r>
    </w:p>
    <w:p w14:paraId="4D994F07" w14:textId="0EBA6E55" w:rsidR="004E61B8" w:rsidRPr="00241284" w:rsidRDefault="00EC70AE" w:rsidP="00241284">
      <w:pPr>
        <w:pStyle w:val="Paragrafoelenco"/>
        <w:numPr>
          <w:ilvl w:val="0"/>
          <w:numId w:val="2"/>
        </w:numPr>
        <w:jc w:val="both"/>
        <w:rPr>
          <w:sz w:val="24"/>
          <w:szCs w:val="24"/>
        </w:rPr>
      </w:pPr>
      <w:r w:rsidRPr="00241284">
        <w:rPr>
          <w:sz w:val="24"/>
          <w:szCs w:val="24"/>
        </w:rPr>
        <w:t>Segnalazione agli organi di controllo</w:t>
      </w:r>
    </w:p>
    <w:p w14:paraId="07E10B8A" w14:textId="4DF86721" w:rsidR="00EC70AE" w:rsidRPr="00241284" w:rsidRDefault="00EC70AE" w:rsidP="004E61B8">
      <w:pPr>
        <w:pStyle w:val="Paragrafoelenco"/>
        <w:jc w:val="both"/>
        <w:rPr>
          <w:sz w:val="24"/>
          <w:szCs w:val="24"/>
        </w:rPr>
      </w:pPr>
      <w:r w:rsidRPr="00241284">
        <w:rPr>
          <w:sz w:val="24"/>
          <w:szCs w:val="24"/>
        </w:rPr>
        <w:t>Gli amministratori e, ove presenti, gli organi di controllo devono attivarsi senza indugio. La mancata adozione di misure idonee potrebbe esporre l’impresa a ulteriori deterioramenti e i responsabili a sanzioni per mancata vigilanza.</w:t>
      </w:r>
    </w:p>
    <w:p w14:paraId="57061F3C" w14:textId="77777777" w:rsidR="004E61B8" w:rsidRPr="00241284" w:rsidRDefault="00EC70AE" w:rsidP="00AF5ED0">
      <w:pPr>
        <w:pStyle w:val="Paragrafoelenco"/>
        <w:numPr>
          <w:ilvl w:val="0"/>
          <w:numId w:val="2"/>
        </w:numPr>
        <w:jc w:val="both"/>
        <w:rPr>
          <w:sz w:val="24"/>
          <w:szCs w:val="24"/>
        </w:rPr>
      </w:pPr>
      <w:r w:rsidRPr="00241284">
        <w:rPr>
          <w:sz w:val="24"/>
          <w:szCs w:val="24"/>
        </w:rPr>
        <w:t>Predisposizione di un piano di risanamento</w:t>
      </w:r>
    </w:p>
    <w:p w14:paraId="5B72EB68" w14:textId="0F9EB804" w:rsidR="00EC70AE" w:rsidRPr="00241284" w:rsidRDefault="00EC70AE" w:rsidP="004E61B8">
      <w:pPr>
        <w:pStyle w:val="Paragrafoelenco"/>
        <w:jc w:val="both"/>
        <w:rPr>
          <w:sz w:val="24"/>
          <w:szCs w:val="24"/>
        </w:rPr>
      </w:pPr>
      <w:r w:rsidRPr="00241284">
        <w:rPr>
          <w:sz w:val="24"/>
          <w:szCs w:val="24"/>
        </w:rPr>
        <w:t>Identificata la crisi, è necessario sviluppare un piano di risanamento credibile. Questo deve includere:</w:t>
      </w:r>
    </w:p>
    <w:p w14:paraId="5A7F2ECC" w14:textId="77777777" w:rsidR="00EC70AE" w:rsidRPr="00241284" w:rsidRDefault="00EC70AE" w:rsidP="00AF5ED0">
      <w:pPr>
        <w:pStyle w:val="Paragrafoelenco"/>
        <w:numPr>
          <w:ilvl w:val="1"/>
          <w:numId w:val="2"/>
        </w:numPr>
        <w:jc w:val="both"/>
        <w:rPr>
          <w:sz w:val="24"/>
          <w:szCs w:val="24"/>
        </w:rPr>
      </w:pPr>
      <w:r w:rsidRPr="00241284">
        <w:rPr>
          <w:sz w:val="24"/>
          <w:szCs w:val="24"/>
        </w:rPr>
        <w:t>Un’analisi delle cause della crisi.</w:t>
      </w:r>
    </w:p>
    <w:p w14:paraId="187AA05B" w14:textId="77777777" w:rsidR="00EC70AE" w:rsidRPr="00241284" w:rsidRDefault="00EC70AE" w:rsidP="00AF5ED0">
      <w:pPr>
        <w:pStyle w:val="Paragrafoelenco"/>
        <w:numPr>
          <w:ilvl w:val="1"/>
          <w:numId w:val="2"/>
        </w:numPr>
        <w:jc w:val="both"/>
        <w:rPr>
          <w:sz w:val="24"/>
          <w:szCs w:val="24"/>
        </w:rPr>
      </w:pPr>
      <w:r w:rsidRPr="00241284">
        <w:rPr>
          <w:sz w:val="24"/>
          <w:szCs w:val="24"/>
        </w:rPr>
        <w:t>Azioni correttive, come ristrutturazioni finanziarie, riduzione dei costi o ricerca di nuovi investimenti.</w:t>
      </w:r>
    </w:p>
    <w:p w14:paraId="23444012" w14:textId="77777777" w:rsidR="00EC70AE" w:rsidRPr="00241284" w:rsidRDefault="00EC70AE" w:rsidP="00AF5ED0">
      <w:pPr>
        <w:pStyle w:val="Paragrafoelenco"/>
        <w:numPr>
          <w:ilvl w:val="1"/>
          <w:numId w:val="2"/>
        </w:numPr>
        <w:jc w:val="both"/>
        <w:rPr>
          <w:sz w:val="24"/>
          <w:szCs w:val="24"/>
        </w:rPr>
      </w:pPr>
      <w:r w:rsidRPr="00241284">
        <w:rPr>
          <w:sz w:val="24"/>
          <w:szCs w:val="24"/>
        </w:rPr>
        <w:t>Una stima delle tempistiche per il ripristino della continuità aziendale.</w:t>
      </w:r>
    </w:p>
    <w:p w14:paraId="73A814D6" w14:textId="77777777" w:rsidR="004E61B8" w:rsidRPr="00241284" w:rsidRDefault="00EC70AE" w:rsidP="00AF5ED0">
      <w:pPr>
        <w:pStyle w:val="Paragrafoelenco"/>
        <w:numPr>
          <w:ilvl w:val="0"/>
          <w:numId w:val="2"/>
        </w:numPr>
        <w:jc w:val="both"/>
        <w:rPr>
          <w:sz w:val="24"/>
          <w:szCs w:val="24"/>
        </w:rPr>
      </w:pPr>
      <w:r w:rsidRPr="00241284">
        <w:rPr>
          <w:sz w:val="24"/>
          <w:szCs w:val="24"/>
        </w:rPr>
        <w:t>Test pratico sulla perseguibilità del risanamento</w:t>
      </w:r>
    </w:p>
    <w:p w14:paraId="78F57E29" w14:textId="13412847" w:rsidR="00241284" w:rsidRPr="00241284" w:rsidRDefault="00EC70AE" w:rsidP="00241284">
      <w:pPr>
        <w:pStyle w:val="Paragrafoelenco"/>
        <w:jc w:val="both"/>
        <w:rPr>
          <w:sz w:val="24"/>
          <w:szCs w:val="24"/>
        </w:rPr>
      </w:pPr>
      <w:r w:rsidRPr="00241284">
        <w:rPr>
          <w:sz w:val="24"/>
          <w:szCs w:val="24"/>
        </w:rPr>
        <w:t>L’articolo 13, comma 2, del CCII prevede un test pratico per verificare la fattibilità del piano di risanamento. Questo strumento consente di valutare la ragionevolezza delle prospettive di ripresa, rafforzando il quadro decisionale.</w:t>
      </w:r>
    </w:p>
    <w:p w14:paraId="7D008B25" w14:textId="77777777" w:rsidR="00241284" w:rsidRPr="00241284" w:rsidRDefault="00241284" w:rsidP="00241284">
      <w:pPr>
        <w:pStyle w:val="Paragrafoelenco"/>
        <w:jc w:val="both"/>
        <w:rPr>
          <w:sz w:val="24"/>
          <w:szCs w:val="24"/>
        </w:rPr>
      </w:pPr>
    </w:p>
    <w:p w14:paraId="21042091" w14:textId="77777777" w:rsidR="00241284" w:rsidRPr="00241284" w:rsidRDefault="00241284" w:rsidP="00241284">
      <w:pPr>
        <w:keepNext/>
        <w:jc w:val="both"/>
        <w:rPr>
          <w:sz w:val="24"/>
          <w:szCs w:val="24"/>
        </w:rPr>
      </w:pPr>
      <w:r w:rsidRPr="00241284">
        <w:rPr>
          <w:sz w:val="24"/>
          <w:szCs w:val="24"/>
        </w:rPr>
        <w:lastRenderedPageBreak/>
        <w:drawing>
          <wp:inline distT="0" distB="0" distL="0" distR="0" wp14:anchorId="25FED09B" wp14:editId="6BCB52CC">
            <wp:extent cx="5905500" cy="5392869"/>
            <wp:effectExtent l="0" t="0" r="0" b="0"/>
            <wp:docPr id="223901147"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273" cy="5401794"/>
                    </a:xfrm>
                    <a:prstGeom prst="rect">
                      <a:avLst/>
                    </a:prstGeom>
                    <a:noFill/>
                    <a:ln>
                      <a:noFill/>
                    </a:ln>
                  </pic:spPr>
                </pic:pic>
              </a:graphicData>
            </a:graphic>
          </wp:inline>
        </w:drawing>
      </w:r>
    </w:p>
    <w:p w14:paraId="7217731E" w14:textId="1BBE93EB" w:rsidR="00241284" w:rsidRPr="00241284" w:rsidRDefault="00241284" w:rsidP="00241284">
      <w:pPr>
        <w:pStyle w:val="Didascalia"/>
        <w:jc w:val="both"/>
        <w:rPr>
          <w:sz w:val="24"/>
          <w:szCs w:val="24"/>
        </w:rPr>
      </w:pPr>
      <w:r w:rsidRPr="00241284">
        <w:rPr>
          <w:sz w:val="24"/>
          <w:szCs w:val="24"/>
        </w:rPr>
        <w:t xml:space="preserve">Figura </w:t>
      </w:r>
      <w:r w:rsidRPr="00241284">
        <w:rPr>
          <w:sz w:val="24"/>
          <w:szCs w:val="24"/>
        </w:rPr>
        <w:fldChar w:fldCharType="begin"/>
      </w:r>
      <w:r w:rsidRPr="00241284">
        <w:rPr>
          <w:sz w:val="24"/>
          <w:szCs w:val="24"/>
        </w:rPr>
        <w:instrText xml:space="preserve"> SEQ Figura \* ARABIC </w:instrText>
      </w:r>
      <w:r w:rsidRPr="00241284">
        <w:rPr>
          <w:sz w:val="24"/>
          <w:szCs w:val="24"/>
        </w:rPr>
        <w:fldChar w:fldCharType="separate"/>
      </w:r>
      <w:r w:rsidRPr="00241284">
        <w:rPr>
          <w:noProof/>
          <w:sz w:val="24"/>
          <w:szCs w:val="24"/>
        </w:rPr>
        <w:t>9</w:t>
      </w:r>
      <w:r w:rsidRPr="00241284">
        <w:rPr>
          <w:sz w:val="24"/>
          <w:szCs w:val="24"/>
        </w:rPr>
        <w:fldChar w:fldCharType="end"/>
      </w:r>
      <w:r w:rsidRPr="00241284">
        <w:rPr>
          <w:sz w:val="24"/>
          <w:szCs w:val="24"/>
        </w:rPr>
        <w:t>: Relazione finale</w:t>
      </w:r>
    </w:p>
    <w:p w14:paraId="41039049" w14:textId="77777777" w:rsidR="00EC70AE" w:rsidRPr="00241284" w:rsidRDefault="00EC70AE" w:rsidP="00AF5ED0">
      <w:pPr>
        <w:jc w:val="both"/>
        <w:rPr>
          <w:sz w:val="24"/>
          <w:szCs w:val="24"/>
        </w:rPr>
      </w:pPr>
    </w:p>
    <w:p w14:paraId="44ECE685" w14:textId="3E46E673" w:rsidR="00EC70AE" w:rsidRPr="00241284" w:rsidRDefault="00EC70AE" w:rsidP="00AF5ED0">
      <w:pPr>
        <w:jc w:val="both"/>
        <w:rPr>
          <w:b/>
          <w:bCs/>
          <w:sz w:val="24"/>
          <w:szCs w:val="24"/>
        </w:rPr>
      </w:pPr>
      <w:r w:rsidRPr="00241284">
        <w:rPr>
          <w:b/>
          <w:bCs/>
          <w:sz w:val="24"/>
          <w:szCs w:val="24"/>
        </w:rPr>
        <w:t>Considerazioni Finali</w:t>
      </w:r>
    </w:p>
    <w:p w14:paraId="4F54594D" w14:textId="77777777" w:rsidR="00EC70AE" w:rsidRPr="00241284" w:rsidRDefault="00EC70AE" w:rsidP="00AF5ED0">
      <w:pPr>
        <w:jc w:val="both"/>
        <w:rPr>
          <w:sz w:val="24"/>
          <w:szCs w:val="24"/>
        </w:rPr>
      </w:pPr>
      <w:r w:rsidRPr="00241284">
        <w:rPr>
          <w:sz w:val="24"/>
          <w:szCs w:val="24"/>
        </w:rPr>
        <w:t>Il processo di giudizio è un passaggio critico che richiede rigore, trasparenza e documentazione accurata. L’identificazione dello stato di crisi non deve essere vista come un fallimento, ma come un’opportunità per adottare misure preventive e salvaguardare la continuità aziendale.</w:t>
      </w:r>
    </w:p>
    <w:p w14:paraId="5ABCF282" w14:textId="0A0D19B1" w:rsidR="00EC70AE" w:rsidRPr="00241284" w:rsidRDefault="00EC70AE" w:rsidP="00AF5ED0">
      <w:pPr>
        <w:jc w:val="both"/>
        <w:rPr>
          <w:sz w:val="24"/>
          <w:szCs w:val="24"/>
        </w:rPr>
      </w:pPr>
      <w:r w:rsidRPr="00241284">
        <w:rPr>
          <w:sz w:val="24"/>
          <w:szCs w:val="24"/>
        </w:rPr>
        <w:t>Il ruolo degli amministratori e degli organi di controllo è cruciale: devono agire prontamente, coordinandosi con i consulenti e, se necessario, con il supporto delle autorità competenti, per garantire che l’impresa possa superare la crisi e tornare a uno stato di equilibrio economico-finanziario.</w:t>
      </w:r>
    </w:p>
    <w:sectPr w:rsidR="00EC70AE" w:rsidRPr="002412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567901"/>
    <w:multiLevelType w:val="hybridMultilevel"/>
    <w:tmpl w:val="EE8894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61C21316"/>
    <w:multiLevelType w:val="hybridMultilevel"/>
    <w:tmpl w:val="B1D859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39127734">
    <w:abstractNumId w:val="0"/>
  </w:num>
  <w:num w:numId="2" w16cid:durableId="298078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25"/>
    <w:rsid w:val="00241284"/>
    <w:rsid w:val="003904B8"/>
    <w:rsid w:val="00473F25"/>
    <w:rsid w:val="004E61B8"/>
    <w:rsid w:val="005C042D"/>
    <w:rsid w:val="00635765"/>
    <w:rsid w:val="00AB0A1C"/>
    <w:rsid w:val="00AF5ED0"/>
    <w:rsid w:val="00C81BC4"/>
    <w:rsid w:val="00CB688C"/>
    <w:rsid w:val="00EC70AE"/>
    <w:rsid w:val="00F40E0A"/>
    <w:rsid w:val="00FB50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390F"/>
  <w15:chartTrackingRefBased/>
  <w15:docId w15:val="{B798F289-1E85-47E9-844D-A8F21696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3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73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73F2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3F2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3F2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3F2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3F2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3F2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3F2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3F2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73F2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73F2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3F2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3F2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3F2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3F2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3F2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3F25"/>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3F2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3F2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3F2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3F2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3F25"/>
    <w:rPr>
      <w:i/>
      <w:iCs/>
      <w:color w:val="404040" w:themeColor="text1" w:themeTint="BF"/>
    </w:rPr>
  </w:style>
  <w:style w:type="paragraph" w:styleId="Paragrafoelenco">
    <w:name w:val="List Paragraph"/>
    <w:basedOn w:val="Normale"/>
    <w:uiPriority w:val="34"/>
    <w:qFormat/>
    <w:rsid w:val="00473F25"/>
    <w:pPr>
      <w:ind w:left="720"/>
      <w:contextualSpacing/>
    </w:pPr>
  </w:style>
  <w:style w:type="character" w:styleId="Enfasiintensa">
    <w:name w:val="Intense Emphasis"/>
    <w:basedOn w:val="Carpredefinitoparagrafo"/>
    <w:uiPriority w:val="21"/>
    <w:qFormat/>
    <w:rsid w:val="00473F25"/>
    <w:rPr>
      <w:i/>
      <w:iCs/>
      <w:color w:val="0F4761" w:themeColor="accent1" w:themeShade="BF"/>
    </w:rPr>
  </w:style>
  <w:style w:type="paragraph" w:styleId="Citazioneintensa">
    <w:name w:val="Intense Quote"/>
    <w:basedOn w:val="Normale"/>
    <w:next w:val="Normale"/>
    <w:link w:val="CitazioneintensaCarattere"/>
    <w:uiPriority w:val="30"/>
    <w:qFormat/>
    <w:rsid w:val="00473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3F25"/>
    <w:rPr>
      <w:i/>
      <w:iCs/>
      <w:color w:val="0F4761" w:themeColor="accent1" w:themeShade="BF"/>
    </w:rPr>
  </w:style>
  <w:style w:type="character" w:styleId="Riferimentointenso">
    <w:name w:val="Intense Reference"/>
    <w:basedOn w:val="Carpredefinitoparagrafo"/>
    <w:uiPriority w:val="32"/>
    <w:qFormat/>
    <w:rsid w:val="00473F25"/>
    <w:rPr>
      <w:b/>
      <w:bCs/>
      <w:smallCaps/>
      <w:color w:val="0F4761" w:themeColor="accent1" w:themeShade="BF"/>
      <w:spacing w:val="5"/>
    </w:rPr>
  </w:style>
  <w:style w:type="paragraph" w:styleId="Didascalia">
    <w:name w:val="caption"/>
    <w:basedOn w:val="Normale"/>
    <w:next w:val="Normale"/>
    <w:uiPriority w:val="35"/>
    <w:unhideWhenUsed/>
    <w:qFormat/>
    <w:rsid w:val="0024128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FA6A3A-C7A8-4244-9BFB-CE59B89C74C8}"/>
</file>

<file path=customXml/itemProps2.xml><?xml version="1.0" encoding="utf-8"?>
<ds:datastoreItem xmlns:ds="http://schemas.openxmlformats.org/officeDocument/2006/customXml" ds:itemID="{180F88A8-EB6E-4122-9869-25FF0F9A62F5}"/>
</file>

<file path=customXml/itemProps3.xml><?xml version="1.0" encoding="utf-8"?>
<ds:datastoreItem xmlns:ds="http://schemas.openxmlformats.org/officeDocument/2006/customXml" ds:itemID="{31EA1333-7963-4E22-A12C-33E2079FF5C3}"/>
</file>

<file path=docProps/app.xml><?xml version="1.0" encoding="utf-8"?>
<Properties xmlns="http://schemas.openxmlformats.org/officeDocument/2006/extended-properties" xmlns:vt="http://schemas.openxmlformats.org/officeDocument/2006/docPropsVTypes">
  <Template>Normal</Template>
  <TotalTime>72</TotalTime>
  <Pages>5</Pages>
  <Words>1172</Words>
  <Characters>6684</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2</cp:revision>
  <dcterms:created xsi:type="dcterms:W3CDTF">2024-12-09T15:05:00Z</dcterms:created>
  <dcterms:modified xsi:type="dcterms:W3CDTF">2024-12-09T16:23:00Z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