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Riclassificare per capire: dal bilancio depositato alla diagnosi d'impresa (II parte)</w:t>
      </w:r>
    </w:p>
    <w:p>
      <w:pPr>
        <w:pStyle w:val="Heading2"/>
      </w:pPr>
      <w:r>
        <w:t>Abstract</w:t>
      </w:r>
    </w:p>
    <w:p>
      <w:r>
        <w:rPr>
          <w:b w:val="0"/>
          <w:i w:val="0"/>
        </w:rPr>
        <w:t>Se il primo contributo ha illustrato come trasformare il bilancio civilistico in prospetti riclassificati e ha accompagnato il lettore nella costruzione del rendiconto finanziario, questo secondo articolo compie il passo successivo: trasformare quei prospetti in strumenti di diagnosi. Attraverso l'analisi degli indici economico-finanziari, la valutazione dei criteri di bancabilità e le simulazioni prospettiche integrate nel tool AnalisiBil_24_2026.xlsx, si mostra come il bilancio smetta di essere una fotografia del passato e diventi un modello con cui ragionare sul futuro.</w:t>
      </w:r>
    </w:p>
    <w:p>
      <w:pPr>
        <w:pStyle w:val="Heading2"/>
      </w:pPr>
      <w:r>
        <w:t>Dagli schemi agli indici: misurare per decidere</w:t>
      </w:r>
    </w:p>
    <w:p>
      <w:r>
        <w:rPr>
          <w:b w:val="0"/>
          <w:i w:val="0"/>
        </w:rPr>
        <w:t>La riclassificazione costruisce la struttura; gli indici la interrogano. Un bilancio riclassificato restituisce grandezze significative — EBITDA, capitale di giro, posizione finanziaria netta — ma è attraverso la messa in relazione di queste grandezze che emergono le informazioni più preziose. Gli indici di bilancio, in questa prospettiva, non sono numeri da calcolare meccanicamente: sono domande formulate in linguaggio matematico. "L'impresa è in grado di far fronte ai propri impegni a breve?" è una domanda; il current ratio è il modo con cui si tenta di risponderle.</w:t>
      </w:r>
    </w:p>
    <w:p>
      <w:r>
        <w:rPr>
          <w:b w:val="0"/>
          <w:i w:val="0"/>
        </w:rPr>
        <w:t>Il tool propone un cruscotto di indicatori organizzato in quattro aree: redditività, liquidità, struttura finanziaria ed efficienza operativa. Questa suddivisione non è arbitraria: ciascuna area indaga un profilo distinto dell'equilibrio aziendale e ogni profilo può rivelare situazioni apparentemente contraddittorie. Un'impresa profittevole può avere tensioni di liquidità; un'impresa con buoni indici di liquidità può essere finanziariamente fragile. La lettura combinata delle quattro aree è ciò che consente di formulare un giudizio complessivo.</w:t>
      </w:r>
    </w:p>
    <w:p>
      <w:pPr>
        <w:pStyle w:val="Heading3"/>
      </w:pPr>
      <w:r>
        <w:t>Indici di redditività</w:t>
      </w:r>
    </w:p>
    <w:p>
      <w:r>
        <w:rPr>
          <w:b w:val="0"/>
          <w:i w:val="0"/>
        </w:rPr>
        <w:t>La redditività misura la capacità dell'impresa di generare valore a partire dalle risorse impiegate. Il principale indicatore di sintesi è il ROE (Return on Equity), che esprime il rendimento del capitale proprio:</w:t>
      </w:r>
    </w:p>
    <w:p>
      <w:pPr>
        <w:ind w:left="567"/>
      </w:pPr>
      <w:r>
        <w:rPr>
          <w:b/>
          <w:i w:val="0"/>
        </w:rPr>
        <w:t>ROE = Risultato netto / Patrimonio netto</w:t>
      </w:r>
    </w:p>
    <w:p>
      <w:r>
        <w:rPr>
          <w:b w:val="0"/>
          <w:i w:val="0"/>
        </w:rPr>
        <w:t>Il ROE è l'indice che interessa maggiormente ai soci: misura quanto l'impresa remunera il capitale investito. Un ROE positivo non è tuttavia condizione sufficiente: occorre confrontarlo con il costo opportunità del capitale proprio, cioè il rendimento che i soci avrebbero ottenuto investendo altrove con profilo di rischio analogo. Se il ROE è inferiore a tale soglia, l'impresa distrugge valore anche quando produce utili.</w:t>
      </w:r>
    </w:p>
    <w:p>
      <w:r>
        <w:rPr>
          <w:b w:val="0"/>
          <w:i w:val="0"/>
        </w:rPr>
        <w:t>Il ROI (Return on Investment) sposta l'attenzione sull'efficienza dell'intera struttura operativa:</w:t>
      </w:r>
    </w:p>
    <w:p>
      <w:pPr>
        <w:ind w:left="567"/>
      </w:pPr>
      <w:r>
        <w:rPr>
          <w:b/>
          <w:i w:val="0"/>
        </w:rPr>
        <w:t>ROI = EBIT / Capitale investito netto</w:t>
      </w:r>
    </w:p>
    <w:p>
      <w:r>
        <w:rPr>
          <w:b w:val="0"/>
          <w:i w:val="0"/>
        </w:rPr>
        <w:t>A differenza del ROE, il ROI prescinde dalla struttura finanziaria e dalla fiscalità, concentrandosi sulla gestione caratteristica. È l'indice con cui si valuta se il business, in sé, è in grado di remunerare il capitale impiegato, indipendentemente da come quel capitale sia stato raccolto. Il confronto tra ROI e costo medio del debito misura la convenienza della leva finanziaria: se ROI &gt; costo del debito, il ricorso al credito amplifica il ROE; se ROI &lt; costo del debito, l'effetto leva è distruttivo.</w:t>
      </w:r>
    </w:p>
    <w:p>
      <w:r>
        <w:rPr>
          <w:b w:val="0"/>
          <w:i w:val="0"/>
        </w:rPr>
        <w:t>Il ROS (Return on Sales) completa il quadro della redditività operativa:</w:t>
      </w:r>
    </w:p>
    <w:p>
      <w:pPr>
        <w:ind w:left="567"/>
      </w:pPr>
      <w:r>
        <w:rPr>
          <w:b/>
          <w:i w:val="0"/>
        </w:rPr>
        <w:t>ROS = EBIT / Ricavi netti</w:t>
      </w:r>
    </w:p>
    <w:p>
      <w:r>
        <w:rPr>
          <w:b w:val="0"/>
          <w:i w:val="0"/>
        </w:rPr>
        <w:t>Il ROS indica quanta parte del fatturato si trasforma in risultato operativo dopo aver sostenuto tutti i costi della gestione caratteristica. È particolarmente utile per analisi di settore e per il monitoraggio nel tempo: una compressione del ROS segnala o un aumento dei costi operativi non compensato dai prezzi, o un calo del fatturato a fronte di una struttura dei costi rigida.</w:t>
      </w:r>
    </w:p>
    <w:p>
      <w:pPr>
        <w:spacing w:after="160"/>
      </w:pPr>
      <w:r>
        <w:rPr>
          <w:i/>
          <w:color w:val="707070"/>
          <w:sz w:val="20"/>
        </w:rPr>
        <w:t>Figura: Cruscotto degli indici di redditività con trend pluriennale</w:t>
      </w:r>
    </w:p>
    <w:p>
      <w:pPr>
        <w:pStyle w:val="Heading3"/>
      </w:pPr>
      <w:r>
        <w:t>Indici di liquidità</w:t>
      </w:r>
    </w:p>
    <w:p>
      <w:r>
        <w:rPr>
          <w:b w:val="0"/>
          <w:i w:val="0"/>
        </w:rPr>
        <w:t>Gli indici di liquidità misurano la capacità dell'impresa di far fronte agli impegni a breve termine con le risorse di pari scadenza. Il current ratio (o indice di liquidità corrente) è il più immediato:</w:t>
      </w:r>
    </w:p>
    <w:p>
      <w:pPr>
        <w:ind w:left="567"/>
      </w:pPr>
      <w:r>
        <w:rPr>
          <w:b/>
          <w:i w:val="0"/>
        </w:rPr>
        <w:t>Current ratio = Attivo circolante / Passività correnti</w:t>
      </w:r>
    </w:p>
    <w:p>
      <w:r>
        <w:rPr>
          <w:b w:val="0"/>
          <w:i w:val="0"/>
        </w:rPr>
        <w:t>Un valore superiore a 1 indica che le attività a breve coprono i debiti a breve; un valore inferiore a 1 è un segnale di potenziale tensione. La soglia comunemente considerata accettabile si colloca intorno a 1,2–1,5, ma la soglia critica varia significativamente in funzione del settore e della velocità di rotazione del circolante.</w:t>
      </w:r>
    </w:p>
    <w:p>
      <w:r>
        <w:rPr>
          <w:b w:val="0"/>
          <w:i w:val="0"/>
        </w:rPr>
        <w:t>Il quick ratio, o indice di liquidità secca, raffina l'analisi escludendo le rimanenze:</w:t>
      </w:r>
    </w:p>
    <w:p>
      <w:pPr>
        <w:ind w:left="567"/>
      </w:pPr>
      <w:r>
        <w:rPr>
          <w:b/>
          <w:i w:val="0"/>
        </w:rPr>
        <w:t>Quick ratio = (Liquidità immediata + Crediti a breve) / Passività correnti</w:t>
      </w:r>
    </w:p>
    <w:p>
      <w:r>
        <w:rPr>
          <w:b w:val="0"/>
          <w:i w:val="0"/>
        </w:rPr>
        <w:t>Le rimanenze sono la componente del circolante con minore liquidabilità nel breve periodo: il quick ratio misura quindi la capacità dell'impresa di fronteggiare le scadenze senza dover monetizzare il magazzino. Nelle imprese con elevata incidenza delle rimanenze (manifatturiero, distribuzione all'ingrosso), la distanza tra current ratio e quick ratio può essere molto significativa e merita attenzione specifica.</w:t>
      </w:r>
    </w:p>
    <w:p>
      <w:r>
        <w:rPr>
          <w:b w:val="0"/>
          <w:i w:val="0"/>
        </w:rPr>
        <w:t>Un terzo indicatore, il cash ratio, considera esclusivamente le disponibilità liquide immediate:</w:t>
      </w:r>
    </w:p>
    <w:p>
      <w:pPr>
        <w:ind w:left="567"/>
      </w:pPr>
      <w:r>
        <w:rPr>
          <w:b/>
          <w:i w:val="0"/>
        </w:rPr>
        <w:t>Cash ratio = Disponibilità liquide / Passività correnti</w:t>
      </w:r>
    </w:p>
    <w:p>
      <w:r>
        <w:rPr>
          <w:b w:val="0"/>
          <w:i w:val="0"/>
        </w:rPr>
        <w:t>Il cash ratio segnala la liquidità di riserva immediata. Valori molto elevati possono indicare un'eccessiva giacenza di cassa non investita produttivamente; valori molto bassi suggeriscono dipendenza dal credito di breve per la gestione corrente. Una lettura equilibrata va sempre integrata con l'analisi del rendiconto finanziario e dei fidi bancari disponibili.</w:t>
      </w:r>
    </w:p>
    <w:p>
      <w:pPr>
        <w:spacing w:after="160"/>
      </w:pPr>
      <w:r>
        <w:rPr>
          <w:i/>
          <w:color w:val="707070"/>
          <w:sz w:val="20"/>
        </w:rPr>
        <w:t>Figura: Indici di liquidità a confronto con i valori di riferimento di settore</w:t>
      </w:r>
    </w:p>
    <w:p>
      <w:pPr>
        <w:pStyle w:val="Heading3"/>
      </w:pPr>
      <w:r>
        <w:t>Indici di struttura finanziaria</w:t>
      </w:r>
    </w:p>
    <w:p>
      <w:r>
        <w:rPr>
          <w:b w:val="0"/>
          <w:i w:val="0"/>
        </w:rPr>
        <w:t>La struttura finanziaria descrive come l'impresa finanzia i propri impieghi e quale sia il bilanciamento tra capitale proprio e capitale di terzi. Il debt/equity ratio esprime in forma sintetica questo equilibrio:</w:t>
      </w:r>
    </w:p>
    <w:p>
      <w:pPr>
        <w:ind w:left="567"/>
      </w:pPr>
      <w:r>
        <w:rPr>
          <w:b/>
          <w:i w:val="0"/>
        </w:rPr>
        <w:t>D/E = Posizione finanziaria netta / Patrimonio netto</w:t>
      </w:r>
    </w:p>
    <w:p>
      <w:r>
        <w:rPr>
          <w:b w:val="0"/>
          <w:i w:val="0"/>
        </w:rPr>
        <w:t>Un D/E elevato indica un'impresa fortemente dipendente dal debito finanziario; un D/E contenuto segnala una struttura più solida e autonoma. La soglia critica varia per settore, ma valori superiori a 3–4 vengono generalmente considerati un segnale di tensione strutturale dai principali interlocutori bancari e finanziari.</w:t>
      </w:r>
    </w:p>
    <w:p>
      <w:r>
        <w:rPr>
          <w:b w:val="0"/>
          <w:i w:val="0"/>
        </w:rPr>
        <w:t>Il grado di copertura delle immobilizzazioni misura se le fonti stabili (patrimonio netto e debiti a medio-lungo termine) finanziano adeguatamente gli impieghi immobilizzati:</w:t>
      </w:r>
    </w:p>
    <w:p>
      <w:pPr>
        <w:ind w:left="567"/>
      </w:pPr>
      <w:r>
        <w:rPr>
          <w:b/>
          <w:i w:val="0"/>
        </w:rPr>
        <w:t>Margine di struttura allargato = (Patrimonio netto + Debiti M/L) / Immobilizzazioni nette</w:t>
      </w:r>
    </w:p>
    <w:p>
      <w:r>
        <w:rPr>
          <w:b w:val="0"/>
          <w:i w:val="0"/>
        </w:rPr>
        <w:t>Se l'indice è superiore a 1, le immobilizzazioni sono finanziate interamente da fonti stabili e l'eccedenza copre parte del capitale di giro. Se è inferiore a 1, parte delle immobilizzazioni è finanziata da debiti a breve: una situazione strutturalmente rischiosa perché espone l'impresa al rischio di rinnovo del credito a breve scadenza.</w:t>
      </w:r>
    </w:p>
    <w:p>
      <w:r>
        <w:rPr>
          <w:b w:val="0"/>
          <w:i w:val="0"/>
        </w:rPr>
        <w:t>Il rapporto PFN/EBITDA è il metro di misura più utilizzato per valutare la sostenibilità del debito finanziario nel tempo:</w:t>
      </w:r>
    </w:p>
    <w:p>
      <w:pPr>
        <w:ind w:left="567"/>
      </w:pPr>
      <w:r>
        <w:rPr>
          <w:b/>
          <w:i w:val="0"/>
        </w:rPr>
        <w:t>PFN/EBITDA = Posizione finanziaria netta / EBITDA</w:t>
      </w:r>
    </w:p>
    <w:p>
      <w:r>
        <w:rPr>
          <w:b w:val="0"/>
          <w:i w:val="0"/>
        </w:rPr>
        <w:t>Questo multiplo misura quanti anni di margine operativo lordo sarebbero necessari per estinguere l'indebitamento finanziario netto. Le soglie convenzionalmente adottate oscillano tra 3x e 4x come limite di attenzione e tra 5x e 6x come soglia di criticità, con differenze rilevanti per settore. È uno degli indicatori più monitorati dai sistemi di rating bancario interno e, come si vedrà, uno dei driver principali della classificazione nelle fasce di rischio.</w:t>
      </w:r>
    </w:p>
    <w:p>
      <w:pPr>
        <w:spacing w:after="160"/>
      </w:pPr>
      <w:r>
        <w:rPr>
          <w:i/>
          <w:color w:val="707070"/>
          <w:sz w:val="20"/>
        </w:rPr>
        <w:t>Figura: Indici di struttura finanziaria e posizionamento rispetto alle soglie critiche</w:t>
      </w:r>
    </w:p>
    <w:p>
      <w:pPr>
        <w:pStyle w:val="Heading3"/>
      </w:pPr>
      <w:r>
        <w:t>Indici di efficienza operativa</w:t>
      </w:r>
    </w:p>
    <w:p>
      <w:r>
        <w:rPr>
          <w:b w:val="0"/>
          <w:i w:val="0"/>
        </w:rPr>
        <w:t>L'area dell'efficienza operativa misura la capacità dell'impresa di gestire il proprio capitale circolante. I tre indicatori fondamentali sono i giorni medi di incasso dei crediti commerciali (DSO), i giorni medi di pagamento dei fornitori (DPO) e i giorni medi di giacenza delle rimanenze (DIO):</w:t>
      </w:r>
    </w:p>
    <w:p>
      <w:pPr>
        <w:ind w:left="567"/>
      </w:pPr>
      <w:r>
        <w:rPr>
          <w:b/>
          <w:i w:val="0"/>
        </w:rPr>
        <w:t>DSO = (Crediti commerciali / Ricavi) x 365</w:t>
      </w:r>
    </w:p>
    <w:p>
      <w:pPr>
        <w:ind w:left="567"/>
      </w:pPr>
      <w:r>
        <w:rPr>
          <w:b/>
          <w:i w:val="0"/>
        </w:rPr>
        <w:t>DPO = (Debiti commerciali / Costo del venduto) x 365</w:t>
      </w:r>
    </w:p>
    <w:p>
      <w:pPr>
        <w:ind w:left="567"/>
      </w:pPr>
      <w:r>
        <w:rPr>
          <w:b/>
          <w:i w:val="0"/>
        </w:rPr>
        <w:t>DIO = (Rimanenze / Costo del venduto) x 365</w:t>
      </w:r>
    </w:p>
    <w:p>
      <w:r>
        <w:rPr>
          <w:b w:val="0"/>
          <w:i w:val="0"/>
        </w:rPr>
        <w:t>La somma algebrica di questi tre indici determina il ciclo del circolante (Cash Conversion Cycle): CCC = DSO + DIO - DPO. Un CCC positivo e crescente indica un assorbimento crescente di risorse finanziarie nella gestione del capitale di giro, che devono essere coperte da debito o da cassa. Un CCC in riduzione — o addirittura negativo, come accade nella grande distribuzione organizzata — indica invece che l'impresa incassa prima di pagare, generando un "finanziamento spontaneo" dai propri fornitori.</w:t>
      </w:r>
    </w:p>
    <w:p>
      <w:r>
        <w:rPr>
          <w:b w:val="0"/>
          <w:i w:val="0"/>
        </w:rPr>
        <w:t>La variazione del CCC nel tempo è spesso più informativa del suo valore assoluto: un allungamento dei giorni crediti non accompagnato da un corrispondente allungamento dei debiti commerciali è un segnale precoce di deterioramento della qualità del portafoglio clienti o di difficoltà di incasso, ben visibile nel rendiconto finanziario come assorbimento di cassa operativa.</w:t>
      </w:r>
    </w:p>
    <w:p>
      <w:pPr>
        <w:spacing w:after="160"/>
      </w:pPr>
      <w:r>
        <w:rPr>
          <w:i/>
          <w:color w:val="707070"/>
          <w:sz w:val="20"/>
        </w:rPr>
        <w:t>Figura: Cash conversion cycle e variazione del capitale di giro nel biennio</w:t>
      </w:r>
    </w:p>
    <w:p>
      <w:pPr>
        <w:pStyle w:val="Heading2"/>
      </w:pPr>
      <w:r>
        <w:t>Bancabilità: leggere il bilancio con gli occhi della banca</w:t>
      </w:r>
    </w:p>
    <w:p>
      <w:r>
        <w:rPr>
          <w:b w:val="0"/>
          <w:i w:val="0"/>
        </w:rPr>
        <w:t>Gli indici di bilancio, per quanto costruiti secondo logiche aziendalistiche, vengono letti e ponderati anche dagli interlocutori bancari. Comprendere come il sistema creditizio interpreta i dati di bilancio non è un'informazione accessoria per il professionista: è una competenza strategica che consente di anticipare i problemi, guidare le scelte finanziarie del cliente e trasformarsi da redattore del bilancio a consulente finanziario. L'obiettivo non è imparare a "truccare" i numeri, ma capire quali soglie segnalano un deterioramento del merito creditizio e agire in anticipo per correggere le dinamiche che portano verso quelle soglie.</w:t>
      </w:r>
    </w:p>
    <w:p>
      <w:pPr>
        <w:pStyle w:val="Heading3"/>
      </w:pPr>
      <w:r>
        <w:t>Il rating bancario interno e i suoi driver</w:t>
      </w:r>
    </w:p>
    <w:p>
      <w:r>
        <w:rPr>
          <w:b w:val="0"/>
          <w:i w:val="0"/>
        </w:rPr>
        <w:t>Le banche, nel quadro del framework regolamentare di Basilea, attribuiscono a ciascun debitore un rating interno che sintetizza la probabilità di default (PD) e che determina l'assorbimento di capitale della posizione. Il rating non è un giudizio discrezionale: è il risultato di un modello quantitativo che pesa variabili finanziarie (bilancio), comportamentali (andamento del conto corrente, utilizzo dei fidi, ritardi nei pagamenti) e qualitative (settore, posizionamento competitivo, governance).</w:t>
      </w:r>
    </w:p>
    <w:p>
      <w:r>
        <w:rPr>
          <w:b w:val="0"/>
          <w:i w:val="0"/>
        </w:rPr>
        <w:t>La componente finanziaria del rating si basa in larga misura sugli stessi indici che abbiamo descritto: PFN/EBITDA, DSCR, copertura degli interessi, indici di liquidità e di struttura. Ogni banca adotta il proprio modello interno, ma i driver fondamentali sono condivisi: un'impresa con EBITDA in crescita, PFN contenuta, flussi operativi positivi e ciclo del circolante stabile presenta un profilo di rischio sistematicamente migliore di una con le caratteristiche opposte.</w:t>
      </w:r>
    </w:p>
    <w:p>
      <w:r>
        <w:rPr>
          <w:b w:val="0"/>
          <w:i w:val="0"/>
        </w:rPr>
        <w:t>Le banche che adottano sistemi AIRB (Advanced Internal Ratings-Based) producono un rating aggiornato con cadenza almeno annuale, ma possono attivare revisioni straordinarie in presenza di trigger negativi. Tra questi, i principali derivano direttamente dai dati di bilancio.</w:t>
      </w:r>
    </w:p>
    <w:p>
      <w:pPr>
        <w:pStyle w:val="Heading3"/>
      </w:pPr>
      <w:r>
        <w:t>I segnali di Stage 2 e i trigger di deterioramento</w:t>
      </w:r>
    </w:p>
    <w:p>
      <w:r>
        <w:rPr>
          <w:b w:val="0"/>
          <w:i w:val="0"/>
        </w:rPr>
        <w:t>Nel framework contabile IFRS 9, le banche classificano i crediti in tre stadi (stages) in funzione del deterioramento del merito creditizio. Il passaggio dallo Stage 1 allo Stage 2 non implica che il credito sia in default, ma segnala un incremento significativo del rischio rispetto alla data di originazione e comporta, per la banca, l'accantonamento della perdita attesa sull'intera vita residua del credito. Questo accantonamento aggiuntivo rende la posizione più onerosa da tenere per la banca, con possibili riflessi sulle condizioni economiche applicate al cliente.</w:t>
      </w:r>
    </w:p>
    <w:p>
      <w:r>
        <w:rPr>
          <w:b w:val="0"/>
          <w:i w:val="0"/>
        </w:rPr>
        <w:t>Tra i principali indicatori quantitativi che, nel monitoraggio bancario, possono determinare il passaggio in Stage 2 vi sono:</w:t>
      </w:r>
    </w:p>
    <w:p>
      <w:pPr>
        <w:pStyle w:val="ListBullet"/>
      </w:pPr>
      <w:r>
        <w:t>due esercizi consecutivi in perdita netta</w:t>
      </w:r>
    </w:p>
    <w:p>
      <w:pPr>
        <w:pStyle w:val="ListBullet"/>
      </w:pPr>
      <w:r>
        <w:t>PFN/EBITDA superiore a 4x–6x (la soglia varia per banca e settore)</w:t>
      </w:r>
    </w:p>
    <w:p>
      <w:pPr>
        <w:pStyle w:val="ListBullet"/>
      </w:pPr>
      <w:r>
        <w:t>DSCR (Debt Service Coverage Ratio) inferiore a 1</w:t>
      </w:r>
    </w:p>
    <w:p>
      <w:pPr>
        <w:pStyle w:val="ListBullet"/>
      </w:pPr>
      <w:r>
        <w:t>rapporto fatturato/debiti finanziari inferiore ai valori di settore</w:t>
      </w:r>
    </w:p>
    <w:p>
      <w:pPr>
        <w:pStyle w:val="ListBullet"/>
      </w:pPr>
      <w:r>
        <w:t>significativo deterioramento degli indici di liquidità</w:t>
      </w:r>
    </w:p>
    <w:p>
      <w:pPr>
        <w:pStyle w:val="ListBullet"/>
      </w:pPr>
      <w:r>
        <w:t>utilizzo sistematico dei fidi a breve oltre l'80% del plafond accordato</w:t>
      </w:r>
    </w:p>
    <w:p>
      <w:pPr>
        <w:pStyle w:val="ListBullet"/>
      </w:pPr>
      <w:r>
        <w:t>presenza di sconfini reiterati o pagamenti ritardati</w:t>
      </w:r>
    </w:p>
    <w:p>
      <w:r>
        <w:rPr>
          <w:b w:val="0"/>
          <w:i w:val="0"/>
        </w:rPr>
        <w:t>Il professionista che conosce questi trigger è in grado di anticipare la lettura bancaria del bilancio del proprio cliente e di valutare, già in fase di redazione o di analisi del consuntivo, se la posizione rischi di attivare meccanismi di monitoraggio rafforzato. Questo non significa intervenire sui dati, ma avere la consapevolezza del segnale che i dati invieranno e prepararsi a discuterne con il cliente prima che la banca lo faccia.</w:t>
      </w:r>
    </w:p>
    <w:p>
      <w:pPr>
        <w:pStyle w:val="Heading3"/>
      </w:pPr>
      <w:r>
        <w:t>Il DSCR: l'indice che le banche leggono per primo</w:t>
      </w:r>
    </w:p>
    <w:p>
      <w:r>
        <w:rPr>
          <w:b w:val="0"/>
          <w:i w:val="0"/>
        </w:rPr>
        <w:t>Il Debt Service Coverage Ratio (DSCR) misura la capacità dell'impresa di far fronte al servizio del debito con i flussi di cassa operativi generati nel periodo. La sua formula base è:</w:t>
      </w:r>
    </w:p>
    <w:p>
      <w:pPr>
        <w:ind w:left="567"/>
      </w:pPr>
      <w:r>
        <w:rPr>
          <w:b/>
          <w:i w:val="0"/>
        </w:rPr>
        <w:t>DSCR = Flusso di cassa operativo / (Quote capitale + Interessi passivi)</w:t>
      </w:r>
    </w:p>
    <w:p>
      <w:r>
        <w:rPr>
          <w:b w:val="0"/>
          <w:i w:val="0"/>
        </w:rPr>
        <w:t>Un DSCR superiore a 1 indica che i flussi operativi sono sufficienti a coprire le rate del debito; un DSCR inferiore a 1 segnala che l'impresa non è in grado di generare cassa sufficiente a sostenere il proprio debito con le sole risorse operative, e deve ricorrere a riserve di liquidità, nuovi finanziamenti o disinvestimenti per far fronte alle scadenze.</w:t>
      </w:r>
    </w:p>
    <w:p>
      <w:r>
        <w:rPr>
          <w:b w:val="0"/>
          <w:i w:val="0"/>
        </w:rPr>
        <w:t>Il Codice della Crisi d'Impresa e dell'Insolvenza (D.Lgs. 14/2019) ha introdotto il DSCR prospettico come uno degli indicatori primari per la valutazione dell'adeguatezza degli assetti organizzativi: l'imprenditore è tenuto a verificare che i flussi di cassa attesi nei dodici mesi successivi siano sufficienti a coprire le obbligazioni in scadenza. Il DSCR prospettico, a differenza di quello consuntivo, si costruisce su basi preventive e richiede quindi un'attività di pianificazione finanziaria che va oltre la semplice analisi del bilancio storico.</w:t>
      </w:r>
    </w:p>
    <w:p>
      <w:r>
        <w:rPr>
          <w:b w:val="0"/>
          <w:i w:val="0"/>
        </w:rPr>
        <w:t>Il tool calcola il DSCR consuntivo sulla base dei dati di rendiconto finanziario e ne visualizza l'evoluzione nel tempo, fornendo un punto di partenza per la stima prospettica. In combinazione con la simulazione degli scenari, descritta nel paragrafo successivo, è possibile verificare come variazioni nelle principali leve operative o finanziarie impattino sulla copertura del servizio del debito.</w:t>
      </w:r>
    </w:p>
    <w:p>
      <w:pPr>
        <w:spacing w:after="160"/>
      </w:pPr>
      <w:r>
        <w:rPr>
          <w:i/>
          <w:color w:val="707070"/>
          <w:sz w:val="20"/>
        </w:rPr>
        <w:t>Figura: Calcolo del DSCR consuntivo e prospettico con evidenza delle soglie critiche</w:t>
      </w:r>
    </w:p>
    <w:p>
      <w:pPr>
        <w:pStyle w:val="Heading3"/>
      </w:pPr>
      <w:r>
        <w:t>La posizione finanziaria netta come misura di rischio strutturale</w:t>
      </w:r>
    </w:p>
    <w:p>
      <w:r>
        <w:rPr>
          <w:b w:val="0"/>
          <w:i w:val="0"/>
        </w:rPr>
        <w:t>La Posizione Finanziaria Netta (PFN) — definita come differenza tra i debiti finanziari e le disponibilità liquide e i crediti finanziari a breve — è la misura più diretta dell'indebitamento finanziario netto dell'impresa. Nella sua forma più estesa, include anche i debiti verso società di leasing e i debiti verso soci finanziatori. È importante distinguere tra PFN operativa, che esclude le partecipazioni e i crediti finanziari verso correlate, e PFN consolidata, che include tutte le esposizioni del gruppo.</w:t>
      </w:r>
    </w:p>
    <w:p>
      <w:r>
        <w:rPr>
          <w:b w:val="0"/>
          <w:i w:val="0"/>
        </w:rPr>
        <w:t>Il multiplo PFN/EBITDA esprime quanti anni di margine operativo lordo sarebbero necessari per azzerare l'indebitamento, ipotizzando che l'intero EBITDA venga destinato al rimborso del debito. Questa ipotesi è ovviamente semplificatrice — ignora imposte, variazioni di circolante e investimenti — ma il multiplo ha il pregio di essere immediatamente confrontabile con i benchmark di mercato e con i covenant normalmente inseriti nei contratti di finanziamento.</w:t>
      </w:r>
    </w:p>
    <w:p>
      <w:r>
        <w:rPr>
          <w:b w:val="0"/>
          <w:i w:val="0"/>
        </w:rPr>
        <w:t>È utile affiancare al PFN/EBITDA il rapporto tra oneri finanziari e EBITDA (interest coverage):</w:t>
      </w:r>
    </w:p>
    <w:p>
      <w:pPr>
        <w:ind w:left="567"/>
      </w:pPr>
      <w:r>
        <w:rPr>
          <w:b/>
          <w:i w:val="0"/>
        </w:rPr>
        <w:t>Interest coverage = EBITDA / Oneri finanziari netti</w:t>
      </w:r>
    </w:p>
    <w:p>
      <w:r>
        <w:rPr>
          <w:b w:val="0"/>
          <w:i w:val="0"/>
        </w:rPr>
        <w:t>Un interest coverage inferiore a 2,5x–3x è generalmente considerato un segnale di tensione finanziaria: significa che più di un terzo del margine operativo lordo è assorbito dal costo del debito, lasciando poco spazio per ammortamenti, investimenti e rimborso del capitale. In un contesto di tassi ancora elevati, molte imprese con PFN sostenibile hanno visto deteriorarsi significativamente questo indice, rendendo ancora più rilevante il monitoraggio periodico.</w:t>
      </w:r>
    </w:p>
    <w:p>
      <w:pPr>
        <w:spacing w:after="160"/>
      </w:pPr>
      <w:r>
        <w:rPr>
          <w:i/>
          <w:color w:val="707070"/>
          <w:sz w:val="20"/>
        </w:rPr>
        <w:t>Figura: PFN/EBITDA e interest coverage con posizionamento rispetto ai covenant</w:t>
      </w:r>
    </w:p>
    <w:p>
      <w:pPr>
        <w:pStyle w:val="Heading3"/>
      </w:pPr>
      <w:r>
        <w:t>La centrale rischi e l'andamentale: la banca sa già</w:t>
      </w:r>
    </w:p>
    <w:p>
      <w:r>
        <w:rPr>
          <w:b w:val="0"/>
          <w:i w:val="0"/>
        </w:rPr>
        <w:t>Il merito creditizio non dipende solo dal bilancio. Le banche accedono sistematicamente alla Centrale dei Rischi della Banca d'Italia, che raccoglie le esposizioni creditizie di ciascuna impresa verso il sistema bancario e finanziario. La CR fornisce una fotografia dell'indebitamento complessivo — banche, leasing, factoring, garanti — e segnala eventuali classificazioni come "a rischio" o "in sofferenza" da parte di qualsiasi intermediario.</w:t>
      </w:r>
    </w:p>
    <w:p>
      <w:r>
        <w:rPr>
          <w:b w:val="0"/>
          <w:i w:val="0"/>
        </w:rPr>
        <w:t>L'analisi andamentale si basa invece sul comportamento del conto corrente: utilizzo medio dei fidi, sconfinamenti, frequenza di utilizzo delle linee di credito a breve, movimentazione in entrata e in uscita. Un conto corrente che mostra utilizzo sistematico a ridosso del fido concesso, con frequenti sconfinamenti autorizzati o non autorizzati, è un segnale comportamentale di tensione finanziaria spesso più precoce di qualsiasi indicatore di bilancio.</w:t>
      </w:r>
    </w:p>
    <w:p>
      <w:r>
        <w:rPr>
          <w:b w:val="0"/>
          <w:i w:val="0"/>
        </w:rPr>
        <w:t>Per il professionista che assiste l'impresa, conoscere l'andamentale bancario è fondamentale: un'impresa che mostra bilanci in ordine ma presenta un andamentale deteriorato si trova spesso in una situazione più critica di quanto i dati consuntivi suggeriscano. Verificare la propria CR è un'operazione semplice, gratuita e accessibile direttamente online tramite il portale della Banca d'Italia: è una buona prassi raccomandarla almeno annualmente al cliente, in concomitanza con la presentazione del bilancio.</w:t>
      </w:r>
    </w:p>
    <w:p>
      <w:pPr>
        <w:spacing w:after="160"/>
      </w:pPr>
      <w:r>
        <w:rPr>
          <w:i/>
          <w:color w:val="707070"/>
          <w:sz w:val="20"/>
        </w:rPr>
        <w:t>Figura: Simulazione del profilo di bancabilità sintetico basato su indici di bilancio</w:t>
      </w:r>
    </w:p>
    <w:p>
      <w:pPr>
        <w:pStyle w:val="Heading2"/>
      </w:pPr>
      <w:r>
        <w:t>Simulazioni di bilancio: il bilancio come modello</w:t>
      </w:r>
    </w:p>
    <w:p>
      <w:r>
        <w:rPr>
          <w:b w:val="0"/>
          <w:i w:val="0"/>
        </w:rPr>
        <w:t>L'analisi del bilancio storico risponde alla domanda "dove siamo stati". La simulazione risponde alla domanda "dove possiamo andare, e a quali condizioni". Queste due domande non sono separabili: la simulazione prospettica si costruisce sulle relazioni strutturali che il bilancio storico ha reso esplicite. Un'impresa che mostra un EBITDA margin costantemente al 12% negli ultimi tre esercizi non potrà ragionevolmente pianificare un obiettivo al 20% senza identificare le leve specifiche che consentono quel salto. La simulazione, in questo senso, è la verifica di coerenza delle intenzioni.</w:t>
      </w:r>
    </w:p>
    <w:p>
      <w:pPr>
        <w:pStyle w:val="Heading3"/>
      </w:pPr>
      <w:r>
        <w:t>La logica delle simulazioni what-if</w:t>
      </w:r>
    </w:p>
    <w:p>
      <w:r>
        <w:rPr>
          <w:b w:val="0"/>
          <w:i w:val="0"/>
        </w:rPr>
        <w:t>Il tool AnalisiBil_24_2026.xlsx incorpora un modulo di simulazione what-if che consente di modificare le principali leve del conto economico e dello stato patrimoniale e di osservare immediatamente l'effetto sugli indici e sul profilo di bancabilità. Le variabili su cui è possibile intervenire sono organizzate per area gestionale: ricavi (volume e prezzi), costo del venduto (incidenza percentuale), costi fissi operativi, investimenti in immobilizzazioni, variazione del capitale di giro e piano di rimborso del debito finanziario.</w:t>
      </w:r>
    </w:p>
    <w:p>
      <w:r>
        <w:rPr>
          <w:b w:val="0"/>
          <w:i w:val="0"/>
        </w:rPr>
        <w:t>La struttura della simulazione è volutamente trasparente: ogni leva modifica direttamente il conto economico o lo stato patrimoniale proiettato, e le modifiche si propagano automaticamente al rendiconto finanziario prospettico e agli indici. Non ci sono "scatole nere": il risultato della simulazione è sempre riconducibile alle ipotesi che lo hanno generato, e questo lo rende uno strumento di discussione e non solo di calcolo.</w:t>
      </w:r>
    </w:p>
    <w:p>
      <w:pPr>
        <w:spacing w:after="160"/>
      </w:pPr>
      <w:r>
        <w:rPr>
          <w:i/>
          <w:color w:val="707070"/>
          <w:sz w:val="20"/>
        </w:rPr>
        <w:t>Figura: Pannello delle ipotesi di simulazione e propagazione ai prospetti</w:t>
      </w:r>
    </w:p>
    <w:p>
      <w:pPr>
        <w:pStyle w:val="Heading3"/>
      </w:pPr>
      <w:r>
        <w:t>Dalla simulazione agli obiettivi: quanto fatturato serve?</w:t>
      </w:r>
    </w:p>
    <w:p>
      <w:r>
        <w:rPr>
          <w:b w:val="0"/>
          <w:i w:val="0"/>
        </w:rPr>
        <w:t>Una delle domande più frequenti che un imprenditore si pone — spesso senza formularne esplicitamente le ipotesi — è: quanto devo fatturare per raggiungere l'obiettivo di utile che mi sono prefissato? Apparentemente semplice, questa domanda nasconde relazioni non banali tra volume, margini, struttura dei costi e peso degli oneri finanziari.</w:t>
      </w:r>
    </w:p>
    <w:p>
      <w:r>
        <w:rPr>
          <w:b w:val="0"/>
          <w:i w:val="0"/>
        </w:rPr>
        <w:t>La simulazione consente di affrontare questa domanda in modo strutturato. Fissando l'obiettivo di risultato (ad esempio, un utile netto pari al 5% del fatturato, o un ROE del 10%, o un DSCR superiore a 1,2), il modello determina il livello di fatturato necessario — a parità di struttura dei costi — per raggiungere quell'obiettivo. Questo punto di equilibrio prospettico può essere confrontato con le previsioni di vendita e con il budget commerciale, rendendo immediatamente evidente se l'obiettivo è compatibile con le condizioni di mercato attese.</w:t>
      </w:r>
    </w:p>
    <w:p>
      <w:r>
        <w:rPr>
          <w:b w:val="0"/>
          <w:i w:val="0"/>
        </w:rPr>
        <w:t>In maniera complementare, è possibile lavorare sul lato dei costi: fissato il fatturato atteso, si può identificare il livello di incidenza del costo del venduto — o dei costi fissi — che consente di raggiungere l'obiettivo di redditività. Questo tipo di analisi è particolarmente utile nelle fasi di rinnovo dei contratti con i fornitori o di rinegoziazione delle condizioni di approvvigionamento: il commercialista può fornire all'imprenditore una soglia quantitativa precisa entro cui si può scendere senza compromettere l'equilibrio economico complessivo.</w:t>
      </w:r>
    </w:p>
    <w:p>
      <w:pPr>
        <w:spacing w:after="160"/>
      </w:pPr>
      <w:r>
        <w:rPr>
          <w:i/>
          <w:color w:val="707070"/>
          <w:sz w:val="20"/>
        </w:rPr>
        <w:t>Figura: Analisi break-even prospettica e obiettivi di redditività</w:t>
      </w:r>
    </w:p>
    <w:p>
      <w:pPr>
        <w:pStyle w:val="Heading3"/>
      </w:pPr>
      <w:r>
        <w:t>Simulare il profilo bancario: anticipo, non reazione</w:t>
      </w:r>
    </w:p>
    <w:p>
      <w:r>
        <w:rPr>
          <w:b w:val="0"/>
          <w:i w:val="0"/>
        </w:rPr>
        <w:t>Tra le simulazioni più utili per il lavoro quotidiano del professionista vi è quella che proietta gli indici di bancabilità — PFN/EBITDA, DSCR, debt/equity — negli esercizi futuri sulla base delle ipotesi di piano. Questa simulazione risponde alla domanda: se realizziamo il piano così come lo abbiamo costruito, come si posizionerà l'impresa agli occhi della banca tra uno o due anni? Il risultato è uno strumento di negoziazione preventiva: se il piano mostra un miglioramento strutturale degli indici, questo argomento può essere portato in banca prima ancora che il bilancio consuntivo lo confermi, supportando la richiesta di mantenimento o estensione delle linee di credito.</w:t>
      </w:r>
    </w:p>
    <w:p>
      <w:r>
        <w:rPr>
          <w:b w:val="0"/>
          <w:i w:val="0"/>
        </w:rPr>
        <w:t>Specularmente, se il piano mostra un deterioramento degli indici — perché l'impresa sta pianificando un investimento importante o un'acquisizione finanziata a debito — la simulazione consente di quantificare anticipatamente il peggioramento e di valutare se esso rientri nei parametri accettabili o richieda un intervento preventivo sulla struttura finanziaria (aumento di capitale, finanziamento a più lungo termine, eventuale cessione di asset non strategici).</w:t>
      </w:r>
    </w:p>
    <w:p>
      <w:r>
        <w:rPr>
          <w:b w:val="0"/>
          <w:i w:val="0"/>
        </w:rPr>
        <w:t>In entrambi i casi, la simulazione sposta il tempo della discussione: dal momento in cui il deterioramento è già avvenuto e il bilancio è stato depositato, al momento in cui si sta ancora costruendo il futuro. Questo è esattamente il cambio di ruolo che il professionista dovrebbe cercare: non commentare ciò che è già accaduto, ma aiutare a costruire ciò che deve ancora accadere.</w:t>
      </w:r>
    </w:p>
    <w:p>
      <w:pPr>
        <w:spacing w:after="160"/>
      </w:pPr>
      <w:r>
        <w:rPr>
          <w:i/>
          <w:color w:val="707070"/>
          <w:sz w:val="20"/>
        </w:rPr>
        <w:t>Figura: Proiezione pluriennale degli indici di bancabilità con scenari alternativi</w:t>
      </w:r>
    </w:p>
    <w:p>
      <w:pPr>
        <w:pStyle w:val="Heading3"/>
      </w:pPr>
      <w:r>
        <w:t>Il circolante come leva: più liquidità senza più debito</w:t>
      </w:r>
    </w:p>
    <w:p>
      <w:r>
        <w:rPr>
          <w:b w:val="0"/>
          <w:i w:val="0"/>
        </w:rPr>
        <w:t>Una delle simulazioni più sorprendenti per gli imprenditori è quella relativa all'effetto finanziario della gestione del circolante. In molte piccole e medie imprese, la principale fonte di tensione finanziaria non è l'insufficiente redditività, ma l'assorbimento di cassa generato da crediti commerciali con tempi di incasso molto superiori ai tempi di pagamento dei fornitori.</w:t>
      </w:r>
    </w:p>
    <w:p>
      <w:r>
        <w:rPr>
          <w:b w:val="0"/>
          <w:i w:val="0"/>
        </w:rPr>
        <w:t>La simulazione consente di quantificare l'effetto finanziario di una riduzione dei giorni medi di incasso (DSO): dieci giorni di riduzione su un fatturato di cinque milioni di euro corrispondono a circa 137.000 euro di liquidità liberata. Questa liquidità può ridurre il ricorso al credito a breve, migliorare il DSCR e abbassare gli oneri finanziari, generando un effetto positivo che si propaga sull'intero profilo di bancabilità senza dover incrementare il fatturato di un solo euro.</w:t>
      </w:r>
    </w:p>
    <w:p>
      <w:r>
        <w:rPr>
          <w:b w:val="0"/>
          <w:i w:val="0"/>
        </w:rPr>
        <w:t>Analogamente, un allungamento negoziato dei tempi di pagamento ai fornitori — quando possibile senza impatto sulle condizioni di acquisto — produce un effetto finanziario equivalente a un finanziamento aggiuntivo a costo zero. Rendere esplicita questa relazione numerica attraverso la simulazione trasforma una negoziazione commerciale in una decisione finanziaria consapevole.</w:t>
      </w:r>
    </w:p>
    <w:p>
      <w:pPr>
        <w:spacing w:after="160"/>
      </w:pPr>
      <w:r>
        <w:rPr>
          <w:i/>
          <w:color w:val="707070"/>
          <w:sz w:val="20"/>
        </w:rPr>
        <w:t>Figura: Effetto finanziario della variazione del ciclo del circolante sul fabbisogno di cassa</w:t>
      </w:r>
    </w:p>
    <w:p>
      <w:pPr>
        <w:pStyle w:val="Heading2"/>
      </w:pPr>
      <w:r>
        <w:t>Il bilancio come punto di partenza per il futuro</w:t>
      </w:r>
    </w:p>
    <w:p>
      <w:r>
        <w:rPr>
          <w:b w:val="0"/>
          <w:i w:val="0"/>
        </w:rPr>
        <w:t>Il percorso compiuto in questi due contributi parte da un bilancio depositato e arriva a un modello con cui ragionare sul futuro. Non è un percorso lineare e non ha un unico sbocco: ogni impresa è un caso a sé, con la sua struttura, la sua storia, i suoi interlocutori. Ma il metodo — riclassificare, misurare, confrontare, simulare — è sempre lo stesso.</w:t>
      </w:r>
    </w:p>
    <w:p>
      <w:r>
        <w:rPr>
          <w:b w:val="0"/>
          <w:i w:val="0"/>
        </w:rPr>
        <w:t>Gli indici economico-finanziari non sono una lista della spesa da spuntare, ma relazioni tra grandezze che raccontano l'impresa: come genera valore, come lo distribuisce, come lo finanzia, come gestisce il tempo tra incassi e pagamenti. La bancabilità non è una valutazione esterna che capita all'impresa: è il riflesso di scelte che l'imprenditore — spesso senza saperlo — compie ogni giorno. E le simulazioni non sono esercizi accademici, ma strumenti di decisione: servono a capire se ciò che si sta pianificando è coerente con i vincoli finanziari e i requisiti degli interlocutori.</w:t>
      </w:r>
    </w:p>
    <w:p>
      <w:r>
        <w:rPr>
          <w:b w:val="0"/>
          <w:i w:val="0"/>
        </w:rPr>
        <w:t>In questo contesto, il ruolo del professionista non è semplicemente quello di chi redige e deposita un bilancio. È quello di chi legge i numeri prima dell'imprenditore, li interpreta prima della banca, li mette in relazione con le scelte operative e ne anticipa le conseguenze. Non si tratta di fare il banchiere o il controller: si tratta di fare il commercialista in maniera piena, usando tutti gli strumenti che da sempre abbiamo a disposizione e che spesso non utilizziamo abbastanza.</w:t>
      </w:r>
    </w:p>
    <w:p>
      <w:r>
        <w:rPr>
          <w:b w:val="0"/>
          <w:i w:val="0"/>
        </w:rPr>
        <w:t>Il bilancio che "parla" non parla da solo. Ha bisogno di qualcuno che sappia ascoltarlo e tradurlo. Questo è il valore che il mercato inizia a riconoscere e a cercare, e che nessun algoritmo potrà sostituire finché il giudizio professionale sarà capace di andare oltre il calcolo.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19296EE-7280-4216-8BD7-0E9C0ADEA01A}"/>
</file>

<file path=customXml/itemProps3.xml><?xml version="1.0" encoding="utf-8"?>
<ds:datastoreItem xmlns:ds="http://schemas.openxmlformats.org/officeDocument/2006/customXml" ds:itemID="{A33352C1-6500-4466-812A-89E1985727D7}"/>
</file>

<file path=customXml/itemProps4.xml><?xml version="1.0" encoding="utf-8"?>
<ds:datastoreItem xmlns:ds="http://schemas.openxmlformats.org/officeDocument/2006/customXml" ds:itemID="{223A172E-75E0-4024-ABA6-0DB03BED35D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