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1820A" w14:textId="77777777" w:rsidR="00B0629B" w:rsidRPr="00B0629B" w:rsidRDefault="00B0629B" w:rsidP="00B0629B">
      <w:pPr>
        <w:jc w:val="both"/>
        <w:rPr>
          <w:rFonts w:ascii="Times New Roman" w:hAnsi="Times New Roman" w:cs="Times New Roman"/>
          <w:b/>
          <w:bCs/>
          <w:sz w:val="32"/>
          <w:szCs w:val="32"/>
        </w:rPr>
      </w:pPr>
      <w:proofErr w:type="spellStart"/>
      <w:r w:rsidRPr="00B0629B">
        <w:rPr>
          <w:rFonts w:ascii="Times New Roman" w:hAnsi="Times New Roman" w:cs="Times New Roman"/>
          <w:b/>
          <w:bCs/>
          <w:sz w:val="32"/>
          <w:szCs w:val="32"/>
        </w:rPr>
        <w:t>Iperammortamento</w:t>
      </w:r>
      <w:proofErr w:type="spellEnd"/>
      <w:r w:rsidRPr="00B0629B">
        <w:rPr>
          <w:rFonts w:ascii="Times New Roman" w:hAnsi="Times New Roman" w:cs="Times New Roman"/>
          <w:b/>
          <w:bCs/>
          <w:sz w:val="32"/>
          <w:szCs w:val="32"/>
        </w:rPr>
        <w:t xml:space="preserve"> 2026: dalla norma al beneficio “misurabile” (con un caso pratico guidato)</w:t>
      </w:r>
    </w:p>
    <w:p w14:paraId="2AD6BBEF"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L’</w:t>
      </w:r>
      <w:proofErr w:type="spellStart"/>
      <w:r w:rsidRPr="00B0629B">
        <w:rPr>
          <w:rFonts w:ascii="Times New Roman" w:hAnsi="Times New Roman" w:cs="Times New Roman"/>
          <w:sz w:val="24"/>
          <w:szCs w:val="24"/>
        </w:rPr>
        <w:t>iperammortamento</w:t>
      </w:r>
      <w:proofErr w:type="spellEnd"/>
      <w:r w:rsidRPr="00B0629B">
        <w:rPr>
          <w:rFonts w:ascii="Times New Roman" w:hAnsi="Times New Roman" w:cs="Times New Roman"/>
          <w:sz w:val="24"/>
          <w:szCs w:val="24"/>
        </w:rPr>
        <w:t xml:space="preserve"> è tornato nel lessico operativo delle imprese con un impianto che, almeno sulla carta, sembra familiare: invece di un credito d’imposta “a scatto” e da gestire con comunicazioni e tracciati, il beneficio si traduce in un maggior costo fiscalmente deducibile lungo la vita utile dei beni agevolati. In altre parole: l’investimento resta iscritto contabilmente secondo le regole civilistiche, ma ai fini fiscali “pesa di più”, generando una deduzione aggiuntiva che riduce l’imponibile e, quindi, l’IRES.</w:t>
      </w:r>
    </w:p>
    <w:p w14:paraId="0AF494DF"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È una misura che parla direttamente a imprenditori e professionisti perché ha due caratteristiche “concrete”: (i) il vantaggio è agganciato a dati che l’impresa conosce (costo del bene, coefficiente, periodo), (ii) il beneficio si può simulare con precisione, anche in termini di valore attualizzato. Proprio questa apparente semplicità, però, nasconde un rischio tipico delle agevolazioni pluriennali: gli errori non emergono subito, ma a distanza di anni, quando l’impresa sta fruendo dell’incentivo e la documentazione deve essere coerente e completa.</w:t>
      </w:r>
    </w:p>
    <w:p w14:paraId="63FFE8B4"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L’esperienza insegna che, sull’</w:t>
      </w:r>
      <w:proofErr w:type="spellStart"/>
      <w:r w:rsidRPr="00B0629B">
        <w:rPr>
          <w:rFonts w:ascii="Times New Roman" w:hAnsi="Times New Roman" w:cs="Times New Roman"/>
          <w:sz w:val="24"/>
          <w:szCs w:val="24"/>
        </w:rPr>
        <w:t>iperammortamento</w:t>
      </w:r>
      <w:proofErr w:type="spellEnd"/>
      <w:r w:rsidRPr="00B0629B">
        <w:rPr>
          <w:rFonts w:ascii="Times New Roman" w:hAnsi="Times New Roman" w:cs="Times New Roman"/>
          <w:sz w:val="24"/>
          <w:szCs w:val="24"/>
        </w:rPr>
        <w:t>, gli scivoloni più frequenti non sono “di calcolo”, ma di processo: requisiti soggettivi non presidiati, confusione sulle date rilevanti, gestione non corretta di contributi che incidono sul costo agevolabile, sottovalutazione della perizia e della documentazione sull’interconnessione, conservazione documentale non strutturata. Per questo, un approccio realmente efficace non può limitarsi a “quanto vale l’agevolazione?”, ma deve rispondere anche a “come la rendo difendibile nel tempo?”.</w:t>
      </w:r>
    </w:p>
    <w:p w14:paraId="6B8F3C58" w14:textId="77777777" w:rsidR="00B0629B" w:rsidRPr="00B0629B" w:rsidRDefault="00B0629B" w:rsidP="00B0629B">
      <w:pPr>
        <w:jc w:val="both"/>
        <w:rPr>
          <w:rFonts w:ascii="Times New Roman" w:hAnsi="Times New Roman" w:cs="Times New Roman"/>
          <w:b/>
          <w:bCs/>
          <w:sz w:val="28"/>
          <w:szCs w:val="28"/>
        </w:rPr>
      </w:pPr>
      <w:r w:rsidRPr="00B0629B">
        <w:rPr>
          <w:rFonts w:ascii="Times New Roman" w:hAnsi="Times New Roman" w:cs="Times New Roman"/>
          <w:b/>
          <w:bCs/>
          <w:sz w:val="28"/>
          <w:szCs w:val="28"/>
        </w:rPr>
        <w:t>Requisiti soggettivi: la prima barriera anti-errore</w:t>
      </w:r>
    </w:p>
    <w:p w14:paraId="710AFEF1"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Il punto di partenza non è il bene, ma l’impresa. L’accesso all’</w:t>
      </w:r>
      <w:proofErr w:type="spellStart"/>
      <w:r w:rsidRPr="00B0629B">
        <w:rPr>
          <w:rFonts w:ascii="Times New Roman" w:hAnsi="Times New Roman" w:cs="Times New Roman"/>
          <w:sz w:val="24"/>
          <w:szCs w:val="24"/>
        </w:rPr>
        <w:t>iperammortamento</w:t>
      </w:r>
      <w:proofErr w:type="spellEnd"/>
      <w:r w:rsidRPr="00B0629B">
        <w:rPr>
          <w:rFonts w:ascii="Times New Roman" w:hAnsi="Times New Roman" w:cs="Times New Roman"/>
          <w:sz w:val="24"/>
          <w:szCs w:val="24"/>
        </w:rPr>
        <w:t xml:space="preserve"> presuppone, infatti, la presenza di requisiti soggettivi che, nella pratica, vengono spesso trattati come una formalità e invece costituiscono la prima linea di rischio. Sicurezza sul lavoro, regolarità contributiva, assenza di condizioni ostative e sanzioni interdittive: sono verifiche che hanno un valore molto concreto perché, se non presidiate, rendono irrilevante qualsiasi calcolo del beneficio.</w:t>
      </w:r>
    </w:p>
    <w:p w14:paraId="1938C798" w14:textId="5E45448E" w:rsidR="009365F1" w:rsidRPr="009365F1"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In un caso pratico, l’impostazione più prudente è rendere questi requisiti “visibili” e tracciati, con un esito sintetico immediato (ammissibile/non ammissibile). È un passaggio che aiuta il professionista anche nella comunicazione con il cliente: l’agevolazione non è un automatismo legato all’acquisto, ma un percorso che parte dal perimetro soggettivo.</w:t>
      </w:r>
    </w:p>
    <w:p w14:paraId="02B4FFD6" w14:textId="1E540B0E" w:rsidR="00B0629B" w:rsidRPr="00B0629B" w:rsidRDefault="00B0629B" w:rsidP="00B0629B">
      <w:pPr>
        <w:jc w:val="both"/>
        <w:rPr>
          <w:rFonts w:ascii="Times New Roman" w:hAnsi="Times New Roman" w:cs="Times New Roman"/>
          <w:b/>
          <w:bCs/>
          <w:sz w:val="28"/>
          <w:szCs w:val="28"/>
        </w:rPr>
      </w:pPr>
      <w:r w:rsidRPr="00B0629B">
        <w:rPr>
          <w:rFonts w:ascii="Times New Roman" w:hAnsi="Times New Roman" w:cs="Times New Roman"/>
          <w:b/>
          <w:bCs/>
          <w:sz w:val="28"/>
          <w:szCs w:val="28"/>
        </w:rPr>
        <w:t>La tabella investimenti: pochi dati giusti, e il modello “fa il resto”</w:t>
      </w:r>
    </w:p>
    <w:p w14:paraId="74C76D29"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Una volta verificata l’ammissibilità, la fase decisiva è la raccolta dei dati sugli investimenti. Qui l’obiettivo non è “riempire celle”, ma costruire una base informativa coerente con ciò che la norma richiede e con ciò che la verifica a posteriori domanderà.</w:t>
      </w:r>
    </w:p>
    <w:p w14:paraId="21B3B57C"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Le colonne che contano davvero, in un modello ben fatto, sono sempre le stesse: descrizione del bene e categoria, costo di acquisizione, eventuali contributi che incidono sul costo agevolabile, base netta, origine UE/SEE, data dell’investimento e anno d’imposta. Il valore aggiunto, però, è la presenza di validazioni automatiche: controllo sul periodo agevolato e controllo sull’anno. Sono dettagli che, nella pratica, riducono gli errori “banali” (ma costosi) e consentono al professionista di accorgersi subito se un inserimento dati sta andando fuori binario.</w:t>
      </w:r>
    </w:p>
    <w:p w14:paraId="6D91C4BB" w14:textId="40FC7833" w:rsidR="009365F1"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lastRenderedPageBreak/>
        <w:t>Un altro aspetto spesso sottovalutato è la gestione dei contributi. Anche quando nel caso specifico non sono presenti, avere una colonna dedicata e una base netta calcolata o controllabile rende il tool riutilizzabile in scenari reali, dove la presenza di sovvenzioni o contributi in conto impianti può incidere in modo significativo sulla quantificazione del beneficio.</w:t>
      </w:r>
    </w:p>
    <w:p w14:paraId="773DD917" w14:textId="5E42BBDA" w:rsidR="00B0629B" w:rsidRPr="00B0629B" w:rsidRDefault="009365F1" w:rsidP="00B0629B">
      <w:pPr>
        <w:jc w:val="both"/>
        <w:rPr>
          <w:rFonts w:ascii="Times New Roman" w:hAnsi="Times New Roman" w:cs="Times New Roman"/>
          <w:b/>
          <w:bCs/>
          <w:sz w:val="28"/>
          <w:szCs w:val="28"/>
        </w:rPr>
      </w:pPr>
      <w:r w:rsidRPr="009365F1">
        <w:drawing>
          <wp:inline distT="0" distB="0" distL="0" distR="0" wp14:anchorId="412D94DA" wp14:editId="1BC1361A">
            <wp:extent cx="6120130" cy="1557020"/>
            <wp:effectExtent l="0" t="0" r="0" b="5080"/>
            <wp:docPr id="6018602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20130" cy="1557020"/>
                    </a:xfrm>
                    <a:prstGeom prst="rect">
                      <a:avLst/>
                    </a:prstGeom>
                    <a:noFill/>
                    <a:ln>
                      <a:noFill/>
                    </a:ln>
                  </pic:spPr>
                </pic:pic>
              </a:graphicData>
            </a:graphic>
          </wp:inline>
        </w:drawing>
      </w:r>
      <w:r w:rsidR="00B0629B" w:rsidRPr="00B0629B">
        <w:rPr>
          <w:rFonts w:ascii="Times New Roman" w:hAnsi="Times New Roman" w:cs="Times New Roman"/>
          <w:b/>
          <w:bCs/>
          <w:sz w:val="28"/>
          <w:szCs w:val="28"/>
        </w:rPr>
        <w:t>L’</w:t>
      </w:r>
      <w:proofErr w:type="spellStart"/>
      <w:r w:rsidR="00B0629B" w:rsidRPr="00B0629B">
        <w:rPr>
          <w:rFonts w:ascii="Times New Roman" w:hAnsi="Times New Roman" w:cs="Times New Roman"/>
          <w:b/>
          <w:bCs/>
          <w:sz w:val="28"/>
          <w:szCs w:val="28"/>
        </w:rPr>
        <w:t>iperammortamento</w:t>
      </w:r>
      <w:proofErr w:type="spellEnd"/>
      <w:r w:rsidR="00B0629B" w:rsidRPr="00B0629B">
        <w:rPr>
          <w:rFonts w:ascii="Times New Roman" w:hAnsi="Times New Roman" w:cs="Times New Roman"/>
          <w:b/>
          <w:bCs/>
          <w:sz w:val="28"/>
          <w:szCs w:val="28"/>
        </w:rPr>
        <w:t xml:space="preserve"> non è solo “calcolo”: è un fascicolo documentale</w:t>
      </w:r>
    </w:p>
    <w:p w14:paraId="1ABE4F21"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Il salto di qualità, soprattutto in un articolo per il Sole 24 Ore, sta nel chiarire che l’</w:t>
      </w:r>
      <w:proofErr w:type="spellStart"/>
      <w:r w:rsidRPr="00B0629B">
        <w:rPr>
          <w:rFonts w:ascii="Times New Roman" w:hAnsi="Times New Roman" w:cs="Times New Roman"/>
          <w:sz w:val="24"/>
          <w:szCs w:val="24"/>
        </w:rPr>
        <w:t>iperammortamento</w:t>
      </w:r>
      <w:proofErr w:type="spellEnd"/>
      <w:r w:rsidRPr="00B0629B">
        <w:rPr>
          <w:rFonts w:ascii="Times New Roman" w:hAnsi="Times New Roman" w:cs="Times New Roman"/>
          <w:sz w:val="24"/>
          <w:szCs w:val="24"/>
        </w:rPr>
        <w:t xml:space="preserve"> non è un’operazione “da dichiarazione”, ma una gestione che deve reggere nel tempo. Perché il beneficio si spalma lungo più esercizi e richiede che la documentazione resti coerente e reperibile.</w:t>
      </w:r>
    </w:p>
    <w:p w14:paraId="11EE5D90"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È qui che una checklist strutturata diventa uno strumento di controllo interno, oltre che un supporto operativo: origine UE/SEE (con attestazioni o dichiarazioni), ordine con data certa, fatture, pagamenti, verbali di consegna e messa in funzione, documentazione di interconnessione, e – quando richiesto – perizia tecnica giurata.</w:t>
      </w:r>
    </w:p>
    <w:p w14:paraId="0088161D"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Due elementi meritano un’attenzione specifica:</w:t>
      </w:r>
    </w:p>
    <w:p w14:paraId="7FC4FDDE" w14:textId="77777777" w:rsidR="00B0629B" w:rsidRPr="00B0629B" w:rsidRDefault="00B0629B" w:rsidP="00B0629B">
      <w:pPr>
        <w:numPr>
          <w:ilvl w:val="0"/>
          <w:numId w:val="1"/>
        </w:numPr>
        <w:jc w:val="both"/>
        <w:rPr>
          <w:rFonts w:ascii="Times New Roman" w:hAnsi="Times New Roman" w:cs="Times New Roman"/>
          <w:sz w:val="24"/>
          <w:szCs w:val="24"/>
        </w:rPr>
      </w:pPr>
      <w:r w:rsidRPr="00B0629B">
        <w:rPr>
          <w:rFonts w:ascii="Times New Roman" w:hAnsi="Times New Roman" w:cs="Times New Roman"/>
          <w:sz w:val="24"/>
          <w:szCs w:val="24"/>
        </w:rPr>
        <w:t>Soglia per la perizia: se il modello distingue correttamente i casi in cui la perizia è richiesta e quelli in cui non lo è, riduce un rischio tipico: “perizia dimenticata” o “perizia fatta quando non serve”.</w:t>
      </w:r>
    </w:p>
    <w:p w14:paraId="434C3BB7" w14:textId="77777777" w:rsidR="00B0629B" w:rsidRPr="00B0629B" w:rsidRDefault="00B0629B" w:rsidP="00B0629B">
      <w:pPr>
        <w:numPr>
          <w:ilvl w:val="0"/>
          <w:numId w:val="1"/>
        </w:numPr>
        <w:jc w:val="both"/>
        <w:rPr>
          <w:rFonts w:ascii="Times New Roman" w:hAnsi="Times New Roman" w:cs="Times New Roman"/>
          <w:sz w:val="24"/>
          <w:szCs w:val="24"/>
        </w:rPr>
      </w:pPr>
      <w:r w:rsidRPr="00B0629B">
        <w:rPr>
          <w:rFonts w:ascii="Times New Roman" w:hAnsi="Times New Roman" w:cs="Times New Roman"/>
          <w:sz w:val="24"/>
          <w:szCs w:val="24"/>
        </w:rPr>
        <w:t>Interconnessione: è un concetto tecnico, ma con conseguenze fiscali; serve che l’impresa sappia dimostrare, con evidenze documentali, la connessione reale al sistema aziendale.</w:t>
      </w:r>
    </w:p>
    <w:p w14:paraId="5E9BA97B"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Una checklist ben costruita permette anche di gestire correttamente le voci “non applicabili” (N/A), evitando che l’utente cerchi documenti inutili o, peggio, trascuri quelli davvero necessari.</w:t>
      </w:r>
    </w:p>
    <w:p w14:paraId="4A2EF225" w14:textId="15D00441" w:rsidR="009365F1" w:rsidRDefault="009365F1" w:rsidP="00B0629B">
      <w:pPr>
        <w:jc w:val="both"/>
        <w:rPr>
          <w:rFonts w:ascii="Times New Roman" w:hAnsi="Times New Roman" w:cs="Times New Roman"/>
          <w:sz w:val="24"/>
          <w:szCs w:val="24"/>
        </w:rPr>
      </w:pPr>
      <w:r w:rsidRPr="009365F1">
        <w:drawing>
          <wp:inline distT="0" distB="0" distL="0" distR="0" wp14:anchorId="683FF7D2" wp14:editId="7B888FAA">
            <wp:extent cx="6120130" cy="1831340"/>
            <wp:effectExtent l="0" t="0" r="0" b="0"/>
            <wp:docPr id="127068828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20130" cy="1831340"/>
                    </a:xfrm>
                    <a:prstGeom prst="rect">
                      <a:avLst/>
                    </a:prstGeom>
                    <a:noFill/>
                    <a:ln>
                      <a:noFill/>
                    </a:ln>
                  </pic:spPr>
                </pic:pic>
              </a:graphicData>
            </a:graphic>
          </wp:inline>
        </w:drawing>
      </w:r>
    </w:p>
    <w:p w14:paraId="65AC1988" w14:textId="02B3E398" w:rsidR="00B0629B" w:rsidRPr="00B0629B" w:rsidRDefault="00B0629B" w:rsidP="00B0629B">
      <w:pPr>
        <w:jc w:val="both"/>
        <w:rPr>
          <w:rFonts w:ascii="Times New Roman" w:hAnsi="Times New Roman" w:cs="Times New Roman"/>
          <w:b/>
          <w:bCs/>
          <w:sz w:val="28"/>
          <w:szCs w:val="28"/>
        </w:rPr>
      </w:pPr>
      <w:r w:rsidRPr="00B0629B">
        <w:rPr>
          <w:rFonts w:ascii="Times New Roman" w:hAnsi="Times New Roman" w:cs="Times New Roman"/>
          <w:b/>
          <w:bCs/>
          <w:sz w:val="28"/>
          <w:szCs w:val="28"/>
        </w:rPr>
        <w:t>Dalla base netta al costo fiscalmente deducibile: la logica della maggiorazione</w:t>
      </w:r>
    </w:p>
    <w:p w14:paraId="165C562B"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Il cuore tecnico dell’</w:t>
      </w:r>
      <w:proofErr w:type="spellStart"/>
      <w:r w:rsidRPr="00B0629B">
        <w:rPr>
          <w:rFonts w:ascii="Times New Roman" w:hAnsi="Times New Roman" w:cs="Times New Roman"/>
          <w:sz w:val="24"/>
          <w:szCs w:val="24"/>
        </w:rPr>
        <w:t>iperammortamento</w:t>
      </w:r>
      <w:proofErr w:type="spellEnd"/>
      <w:r w:rsidRPr="00B0629B">
        <w:rPr>
          <w:rFonts w:ascii="Times New Roman" w:hAnsi="Times New Roman" w:cs="Times New Roman"/>
          <w:sz w:val="24"/>
          <w:szCs w:val="24"/>
        </w:rPr>
        <w:t xml:space="preserve"> è la trasformazione del costo “economico” (base netta) in costo fiscalmente deducibile maggiorato. In un modello ben progettato, questa trasformazione deve essere trasparente: per ogni investimento si vede la base, la maggiorazione, il totale e la percentuale </w:t>
      </w:r>
      <w:r w:rsidRPr="00B0629B">
        <w:rPr>
          <w:rFonts w:ascii="Times New Roman" w:hAnsi="Times New Roman" w:cs="Times New Roman"/>
          <w:sz w:val="24"/>
          <w:szCs w:val="24"/>
        </w:rPr>
        <w:lastRenderedPageBreak/>
        <w:t>effettiva. In questo modo, l’utente può verificare immediatamente se la maggiorazione applicata è coerente con le regole e con la categoria del bene.</w:t>
      </w:r>
    </w:p>
    <w:p w14:paraId="6F626857"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Il punto più utile, dal punto di vista divulgativo, è far comprendere che il vantaggio non coincide con la maggiorazione: il vantaggio reale è l’effetto fiscale della deduzione aggiuntiva, e quindi il risparmio d’imposta generato nel tempo. Un foglio di calcolo che quantifica già il beneficio attualizzato completa il quadro perché restituisce al lettore la metrica più “economica” della convenienza, soprattutto quando l’impresa confronta investimenti alternativi o valuta tempi e priorità.</w:t>
      </w:r>
    </w:p>
    <w:p w14:paraId="2D49BEB4" w14:textId="7BFBB7B0" w:rsidR="00B0629B" w:rsidRPr="00B0629B" w:rsidRDefault="009365F1" w:rsidP="00B0629B">
      <w:pPr>
        <w:jc w:val="both"/>
        <w:rPr>
          <w:rFonts w:ascii="Times New Roman" w:hAnsi="Times New Roman" w:cs="Times New Roman"/>
          <w:sz w:val="24"/>
          <w:szCs w:val="24"/>
        </w:rPr>
      </w:pPr>
      <w:r w:rsidRPr="009365F1">
        <w:drawing>
          <wp:inline distT="0" distB="0" distL="0" distR="0" wp14:anchorId="4DF21F87" wp14:editId="6C39AF01">
            <wp:extent cx="6120130" cy="1097280"/>
            <wp:effectExtent l="0" t="0" r="0" b="7620"/>
            <wp:docPr id="10571064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130" cy="1097280"/>
                    </a:xfrm>
                    <a:prstGeom prst="rect">
                      <a:avLst/>
                    </a:prstGeom>
                    <a:noFill/>
                    <a:ln>
                      <a:noFill/>
                    </a:ln>
                  </pic:spPr>
                </pic:pic>
              </a:graphicData>
            </a:graphic>
          </wp:inline>
        </w:drawing>
      </w:r>
    </w:p>
    <w:p w14:paraId="0125C4DA" w14:textId="77777777" w:rsidR="00B0629B" w:rsidRPr="00B0629B" w:rsidRDefault="00B0629B" w:rsidP="00B0629B">
      <w:pPr>
        <w:jc w:val="both"/>
        <w:rPr>
          <w:rFonts w:ascii="Times New Roman" w:hAnsi="Times New Roman" w:cs="Times New Roman"/>
          <w:b/>
          <w:bCs/>
          <w:sz w:val="28"/>
          <w:szCs w:val="28"/>
        </w:rPr>
      </w:pPr>
      <w:r w:rsidRPr="00B0629B">
        <w:rPr>
          <w:rFonts w:ascii="Times New Roman" w:hAnsi="Times New Roman" w:cs="Times New Roman"/>
          <w:b/>
          <w:bCs/>
          <w:sz w:val="28"/>
          <w:szCs w:val="28"/>
        </w:rPr>
        <w:t>Il piano di ammortamento fiscale maggiorato: il beneficio “anno per anno”</w:t>
      </w:r>
    </w:p>
    <w:p w14:paraId="20FDA149"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Se c’è una sezione che convince anche il lettore meno tecnico, è il piano di ammortamento fiscale maggiorato: perché rende evidente, per ciascun anno, la differenza tra quota civilistica e quota fiscale maggiorata, e quindi la deduzione aggiuntiva e il relativo risparmio IRES.</w:t>
      </w:r>
    </w:p>
    <w:p w14:paraId="3D2128F0"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Questa parte è decisiva anche per il professionista, perché traduce la norma in un impatto sul conto economico “fiscale” e sui flussi d’imposta. E consente una lettura immediata di due aspetti pratici:</w:t>
      </w:r>
    </w:p>
    <w:p w14:paraId="3C2C661A" w14:textId="77777777" w:rsidR="00B0629B" w:rsidRPr="00B0629B" w:rsidRDefault="00B0629B" w:rsidP="00B0629B">
      <w:pPr>
        <w:numPr>
          <w:ilvl w:val="0"/>
          <w:numId w:val="2"/>
        </w:numPr>
        <w:jc w:val="both"/>
        <w:rPr>
          <w:rFonts w:ascii="Times New Roman" w:hAnsi="Times New Roman" w:cs="Times New Roman"/>
          <w:sz w:val="24"/>
          <w:szCs w:val="24"/>
        </w:rPr>
      </w:pPr>
      <w:r w:rsidRPr="00B0629B">
        <w:rPr>
          <w:rFonts w:ascii="Times New Roman" w:hAnsi="Times New Roman" w:cs="Times New Roman"/>
          <w:sz w:val="24"/>
          <w:szCs w:val="24"/>
        </w:rPr>
        <w:t>come il beneficio si distribuisce nel tempo (non sempre in modo uniforme);</w:t>
      </w:r>
    </w:p>
    <w:p w14:paraId="0E55CC9D" w14:textId="77777777" w:rsidR="00B0629B" w:rsidRPr="00B0629B" w:rsidRDefault="00B0629B" w:rsidP="00B0629B">
      <w:pPr>
        <w:numPr>
          <w:ilvl w:val="0"/>
          <w:numId w:val="2"/>
        </w:numPr>
        <w:jc w:val="both"/>
        <w:rPr>
          <w:rFonts w:ascii="Times New Roman" w:hAnsi="Times New Roman" w:cs="Times New Roman"/>
          <w:sz w:val="24"/>
          <w:szCs w:val="24"/>
        </w:rPr>
      </w:pPr>
      <w:r w:rsidRPr="00B0629B">
        <w:rPr>
          <w:rFonts w:ascii="Times New Roman" w:hAnsi="Times New Roman" w:cs="Times New Roman"/>
          <w:sz w:val="24"/>
          <w:szCs w:val="24"/>
        </w:rPr>
        <w:t>come cambia il profilo del risparmio al variare dei coefficienti/aliquote di ammortamento.</w:t>
      </w:r>
    </w:p>
    <w:p w14:paraId="0C975C5C"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In un articolo, è utile mostrare due piani: uno su un investimento più rilevante e uno su un investimento minore, per far capire che il meccanismo resta identico ma cambiano tempi e intensità del beneficio.</w:t>
      </w:r>
    </w:p>
    <w:p w14:paraId="6FDC3045" w14:textId="224A50BD" w:rsidR="009365F1" w:rsidRDefault="009365F1" w:rsidP="00B0629B">
      <w:pPr>
        <w:jc w:val="both"/>
        <w:rPr>
          <w:rFonts w:ascii="Times New Roman" w:hAnsi="Times New Roman" w:cs="Times New Roman"/>
          <w:sz w:val="24"/>
          <w:szCs w:val="24"/>
        </w:rPr>
      </w:pPr>
      <w:r w:rsidRPr="009365F1">
        <w:drawing>
          <wp:inline distT="0" distB="0" distL="0" distR="0" wp14:anchorId="5EA3BDF7" wp14:editId="5F72FFDE">
            <wp:extent cx="6120130" cy="2156460"/>
            <wp:effectExtent l="0" t="0" r="0" b="0"/>
            <wp:docPr id="53468914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2156460"/>
                    </a:xfrm>
                    <a:prstGeom prst="rect">
                      <a:avLst/>
                    </a:prstGeom>
                    <a:noFill/>
                    <a:ln>
                      <a:noFill/>
                    </a:ln>
                  </pic:spPr>
                </pic:pic>
              </a:graphicData>
            </a:graphic>
          </wp:inline>
        </w:drawing>
      </w:r>
    </w:p>
    <w:p w14:paraId="6EA7AA23" w14:textId="574D093D" w:rsidR="009365F1" w:rsidRDefault="009365F1" w:rsidP="00B0629B">
      <w:pPr>
        <w:jc w:val="both"/>
        <w:rPr>
          <w:rFonts w:ascii="Times New Roman" w:hAnsi="Times New Roman" w:cs="Times New Roman"/>
          <w:sz w:val="24"/>
          <w:szCs w:val="24"/>
        </w:rPr>
      </w:pPr>
      <w:r w:rsidRPr="009365F1">
        <w:lastRenderedPageBreak/>
        <w:drawing>
          <wp:inline distT="0" distB="0" distL="0" distR="0" wp14:anchorId="70059844" wp14:editId="0D250691">
            <wp:extent cx="6120130" cy="2156460"/>
            <wp:effectExtent l="0" t="0" r="0" b="0"/>
            <wp:docPr id="115706996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2156460"/>
                    </a:xfrm>
                    <a:prstGeom prst="rect">
                      <a:avLst/>
                    </a:prstGeom>
                    <a:noFill/>
                    <a:ln>
                      <a:noFill/>
                    </a:ln>
                  </pic:spPr>
                </pic:pic>
              </a:graphicData>
            </a:graphic>
          </wp:inline>
        </w:drawing>
      </w:r>
    </w:p>
    <w:p w14:paraId="43F1B3F9" w14:textId="2263F5DF" w:rsidR="00B0629B" w:rsidRPr="00B0629B" w:rsidRDefault="00B0629B" w:rsidP="00B0629B">
      <w:pPr>
        <w:jc w:val="both"/>
        <w:rPr>
          <w:rFonts w:ascii="Times New Roman" w:hAnsi="Times New Roman" w:cs="Times New Roman"/>
          <w:b/>
          <w:bCs/>
          <w:sz w:val="28"/>
          <w:szCs w:val="28"/>
        </w:rPr>
      </w:pPr>
      <w:r w:rsidRPr="00B0629B">
        <w:rPr>
          <w:rFonts w:ascii="Times New Roman" w:hAnsi="Times New Roman" w:cs="Times New Roman"/>
          <w:b/>
          <w:bCs/>
          <w:sz w:val="28"/>
          <w:szCs w:val="28"/>
        </w:rPr>
        <w:t>La dashboard finale: sintesi per decisioni e reporting</w:t>
      </w:r>
    </w:p>
    <w:p w14:paraId="2A92436E"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La sintesi finale serve a due scopi: comunicazione e controllo. Comunicazione perché permette all’imprenditore di cogliere in un colpo d’occhio l’ordine di grandezza del beneficio; controllo perché consente al professionista di verificare coerenza tra dati inseriti, maggiorazioni calcolate e impatto fiscale complessivo.</w:t>
      </w:r>
    </w:p>
    <w:p w14:paraId="4831A2FC"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In particolare, è utile che la dashboard distingua per categoria (materiali 4.0, immateriali 4.0, eventuali altre linee) e che esponga sia il beneficio complessivo sia quello attualizzato. In un’epoca in cui molte scelte di investimento si confrontano su orizzonti pluriennali, l’attualizzazione non è un esercizio accademico, ma uno strumento di decisione.</w:t>
      </w:r>
    </w:p>
    <w:p w14:paraId="31536328" w14:textId="77777777" w:rsidR="00B0629B" w:rsidRPr="00B0629B" w:rsidRDefault="00B0629B" w:rsidP="00B0629B">
      <w:pPr>
        <w:jc w:val="both"/>
        <w:rPr>
          <w:rFonts w:ascii="Times New Roman" w:hAnsi="Times New Roman" w:cs="Times New Roman"/>
          <w:b/>
          <w:bCs/>
          <w:sz w:val="28"/>
          <w:szCs w:val="28"/>
        </w:rPr>
      </w:pPr>
      <w:r w:rsidRPr="00B0629B">
        <w:rPr>
          <w:rFonts w:ascii="Times New Roman" w:hAnsi="Times New Roman" w:cs="Times New Roman"/>
          <w:b/>
          <w:bCs/>
          <w:sz w:val="28"/>
          <w:szCs w:val="28"/>
        </w:rPr>
        <w:t>Conclusione: l’incentivo è “forte” quando è misurabile e difendibile</w:t>
      </w:r>
    </w:p>
    <w:p w14:paraId="670FB90A"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L’</w:t>
      </w:r>
      <w:proofErr w:type="spellStart"/>
      <w:r w:rsidRPr="00B0629B">
        <w:rPr>
          <w:rFonts w:ascii="Times New Roman" w:hAnsi="Times New Roman" w:cs="Times New Roman"/>
          <w:sz w:val="24"/>
          <w:szCs w:val="24"/>
        </w:rPr>
        <w:t>iperammortamento</w:t>
      </w:r>
      <w:proofErr w:type="spellEnd"/>
      <w:r w:rsidRPr="00B0629B">
        <w:rPr>
          <w:rFonts w:ascii="Times New Roman" w:hAnsi="Times New Roman" w:cs="Times New Roman"/>
          <w:sz w:val="24"/>
          <w:szCs w:val="24"/>
        </w:rPr>
        <w:t xml:space="preserve"> è interessante non solo per la sua capacità di aumentare la deducibilità fiscale, ma per la sua natura “contabile”: costringe a ragionare in termini di vita utile, quota annua e tempo. È un incentivo che premia chi investe in modo strutturato e, proprio per questo, richiede una gestione altrettanto strutturata.</w:t>
      </w:r>
    </w:p>
    <w:p w14:paraId="613AA7B9"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Per imprese e professionisti, la differenza tra “opportunità” e “beneficio certo” sta nel metodo: anagrafica e requisiti soggettivi presidiati, investimenti inseriti con dati essenziali ma corretti, validazioni automatiche su date e periodi, checklist documentale che guidi la compliance, calcolo trasparente delle maggiorazioni e piano di ammortamento che mostri il risparmio anno per anno, fino alla dashboard finale.</w:t>
      </w:r>
    </w:p>
    <w:p w14:paraId="22413E0C" w14:textId="77777777" w:rsidR="00B0629B" w:rsidRPr="00B0629B" w:rsidRDefault="00B0629B" w:rsidP="00B0629B">
      <w:pPr>
        <w:jc w:val="both"/>
        <w:rPr>
          <w:rFonts w:ascii="Times New Roman" w:hAnsi="Times New Roman" w:cs="Times New Roman"/>
          <w:sz w:val="24"/>
          <w:szCs w:val="24"/>
        </w:rPr>
      </w:pPr>
      <w:r w:rsidRPr="00B0629B">
        <w:rPr>
          <w:rFonts w:ascii="Times New Roman" w:hAnsi="Times New Roman" w:cs="Times New Roman"/>
          <w:sz w:val="24"/>
          <w:szCs w:val="24"/>
        </w:rPr>
        <w:t>In questa prospettiva, il tool non è un semplice “calcolatore”: è una procedura operativa che riduce errori, rende più semplice la gestione pluriennale e consente una comunicazione efficace del valore dell’</w:t>
      </w:r>
      <w:proofErr w:type="spellStart"/>
      <w:r w:rsidRPr="00B0629B">
        <w:rPr>
          <w:rFonts w:ascii="Times New Roman" w:hAnsi="Times New Roman" w:cs="Times New Roman"/>
          <w:sz w:val="24"/>
          <w:szCs w:val="24"/>
        </w:rPr>
        <w:t>iperammortamento</w:t>
      </w:r>
      <w:proofErr w:type="spellEnd"/>
      <w:r w:rsidRPr="00B0629B">
        <w:rPr>
          <w:rFonts w:ascii="Times New Roman" w:hAnsi="Times New Roman" w:cs="Times New Roman"/>
          <w:sz w:val="24"/>
          <w:szCs w:val="24"/>
        </w:rPr>
        <w:t>, con numeri chiari e verificabili.</w:t>
      </w:r>
    </w:p>
    <w:p w14:paraId="043CDD1D" w14:textId="6A434DEC" w:rsidR="006E5569" w:rsidRPr="00B0629B" w:rsidRDefault="009365F1" w:rsidP="00B0629B">
      <w:pPr>
        <w:jc w:val="both"/>
        <w:rPr>
          <w:rFonts w:ascii="Times New Roman" w:hAnsi="Times New Roman" w:cs="Times New Roman"/>
          <w:sz w:val="24"/>
          <w:szCs w:val="24"/>
        </w:rPr>
      </w:pPr>
      <w:r w:rsidRPr="009365F1">
        <w:lastRenderedPageBreak/>
        <w:drawing>
          <wp:inline distT="0" distB="0" distL="0" distR="0" wp14:anchorId="61867E4C" wp14:editId="29B30D59">
            <wp:extent cx="6120130" cy="2193925"/>
            <wp:effectExtent l="0" t="0" r="0" b="0"/>
            <wp:docPr id="143673184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2193925"/>
                    </a:xfrm>
                    <a:prstGeom prst="rect">
                      <a:avLst/>
                    </a:prstGeom>
                    <a:noFill/>
                    <a:ln>
                      <a:noFill/>
                    </a:ln>
                  </pic:spPr>
                </pic:pic>
              </a:graphicData>
            </a:graphic>
          </wp:inline>
        </w:drawing>
      </w:r>
      <w:r w:rsidR="00B577F2">
        <w:rPr>
          <w:rFonts w:ascii="Times New Roman" w:hAnsi="Times New Roman" w:cs="Times New Roman"/>
          <w:sz w:val="24"/>
          <w:szCs w:val="24"/>
        </w:rPr>
        <w:t xml:space="preserve"> </w:t>
      </w:r>
      <w:r w:rsidR="0069370B">
        <w:rPr>
          <w:rFonts w:ascii="Times New Roman" w:hAnsi="Times New Roman" w:cs="Times New Roman"/>
          <w:sz w:val="24"/>
          <w:szCs w:val="24"/>
        </w:rPr>
        <w:t xml:space="preserve"> </w:t>
      </w:r>
    </w:p>
    <w:sectPr w:rsidR="006E5569" w:rsidRPr="00B0629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051288"/>
    <w:multiLevelType w:val="multilevel"/>
    <w:tmpl w:val="29C8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844F2B"/>
    <w:multiLevelType w:val="multilevel"/>
    <w:tmpl w:val="AFB08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0062796">
    <w:abstractNumId w:val="1"/>
  </w:num>
  <w:num w:numId="2" w16cid:durableId="949509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350"/>
    <w:rsid w:val="00276350"/>
    <w:rsid w:val="0069370B"/>
    <w:rsid w:val="006E5569"/>
    <w:rsid w:val="007F21E4"/>
    <w:rsid w:val="009365F1"/>
    <w:rsid w:val="00A34F14"/>
    <w:rsid w:val="00B0629B"/>
    <w:rsid w:val="00B577F2"/>
    <w:rsid w:val="00E22F0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534C"/>
  <w15:chartTrackingRefBased/>
  <w15:docId w15:val="{880D12CD-0A82-4DAB-BE3F-37E5B4614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76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76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7635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7635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7635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7635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7635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7635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7635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7635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7635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7635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7635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7635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7635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7635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7635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76350"/>
    <w:rPr>
      <w:rFonts w:eastAsiaTheme="majorEastAsia" w:cstheme="majorBidi"/>
      <w:color w:val="272727" w:themeColor="text1" w:themeTint="D8"/>
    </w:rPr>
  </w:style>
  <w:style w:type="paragraph" w:styleId="Titolo">
    <w:name w:val="Title"/>
    <w:basedOn w:val="Normale"/>
    <w:next w:val="Normale"/>
    <w:link w:val="TitoloCarattere"/>
    <w:uiPriority w:val="10"/>
    <w:qFormat/>
    <w:rsid w:val="00276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7635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7635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7635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7635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76350"/>
    <w:rPr>
      <w:i/>
      <w:iCs/>
      <w:color w:val="404040" w:themeColor="text1" w:themeTint="BF"/>
    </w:rPr>
  </w:style>
  <w:style w:type="paragraph" w:styleId="Paragrafoelenco">
    <w:name w:val="List Paragraph"/>
    <w:basedOn w:val="Normale"/>
    <w:uiPriority w:val="34"/>
    <w:qFormat/>
    <w:rsid w:val="00276350"/>
    <w:pPr>
      <w:ind w:left="720"/>
      <w:contextualSpacing/>
    </w:pPr>
  </w:style>
  <w:style w:type="character" w:styleId="Enfasiintensa">
    <w:name w:val="Intense Emphasis"/>
    <w:basedOn w:val="Carpredefinitoparagrafo"/>
    <w:uiPriority w:val="21"/>
    <w:qFormat/>
    <w:rsid w:val="00276350"/>
    <w:rPr>
      <w:i/>
      <w:iCs/>
      <w:color w:val="0F4761" w:themeColor="accent1" w:themeShade="BF"/>
    </w:rPr>
  </w:style>
  <w:style w:type="paragraph" w:styleId="Citazioneintensa">
    <w:name w:val="Intense Quote"/>
    <w:basedOn w:val="Normale"/>
    <w:next w:val="Normale"/>
    <w:link w:val="CitazioneintensaCarattere"/>
    <w:uiPriority w:val="30"/>
    <w:qFormat/>
    <w:rsid w:val="00276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76350"/>
    <w:rPr>
      <w:i/>
      <w:iCs/>
      <w:color w:val="0F4761" w:themeColor="accent1" w:themeShade="BF"/>
    </w:rPr>
  </w:style>
  <w:style w:type="character" w:styleId="Riferimentointenso">
    <w:name w:val="Intense Reference"/>
    <w:basedOn w:val="Carpredefinitoparagrafo"/>
    <w:uiPriority w:val="32"/>
    <w:qFormat/>
    <w:rsid w:val="002763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fontTable" Target="fontTable.xml"/><Relationship Id="rId5" Type="http://schemas.openxmlformats.org/officeDocument/2006/relationships/image" Target="media/image1.emf"/><Relationship Id="rId15" Type="http://schemas.openxmlformats.org/officeDocument/2006/relationships/customXml" Target="../customXml/item3.xml"/><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customXml" Target="../customXml/item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76052FA-DEDA-4A36-A5A9-B55319C46624}"/>
</file>

<file path=customXml/itemProps2.xml><?xml version="1.0" encoding="utf-8"?>
<ds:datastoreItem xmlns:ds="http://schemas.openxmlformats.org/officeDocument/2006/customXml" ds:itemID="{2F501F64-5523-446D-8F44-40E38AF7DFF2}"/>
</file>

<file path=customXml/itemProps3.xml><?xml version="1.0" encoding="utf-8"?>
<ds:datastoreItem xmlns:ds="http://schemas.openxmlformats.org/officeDocument/2006/customXml" ds:itemID="{D5DD6BC0-FE08-4879-A2B1-EC25DE8B9FB3}"/>
</file>

<file path=docProps/app.xml><?xml version="1.0" encoding="utf-8"?>
<Properties xmlns="http://schemas.openxmlformats.org/officeDocument/2006/extended-properties" xmlns:vt="http://schemas.openxmlformats.org/officeDocument/2006/docPropsVTypes">
  <Template>Normal</Template>
  <TotalTime>160</TotalTime>
  <Pages>5</Pages>
  <Words>1339</Words>
  <Characters>7633</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Gabriele Musazzi</dc:creator>
  <cp:keywords/>
  <dc:description/>
  <cp:lastModifiedBy>Gabriele Musazzi</cp:lastModifiedBy>
  <cp:revision>5</cp:revision>
  <dcterms:created xsi:type="dcterms:W3CDTF">2026-03-04T13:45:00Z</dcterms:created>
  <dcterms:modified xsi:type="dcterms:W3CDTF">2026-03-04T16:25:00Z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