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5569" w:rsidRDefault="00A24B99">
      <w:proofErr w:type="spellStart"/>
      <w:r>
        <w:t>Iperammortamento</w:t>
      </w:r>
      <w:proofErr w:type="spellEnd"/>
      <w:r>
        <w:t xml:space="preserve"> ex Legge Bilancio 2026</w:t>
      </w:r>
    </w:p>
    <w:p w:rsidR="00A24B99" w:rsidRPr="00A24B99" w:rsidRDefault="00A24B99" w:rsidP="00A24B99">
      <w:r w:rsidRPr="00A24B99">
        <w:t xml:space="preserve">La Legge di Bilancio 2026 segna un passaggio significativo nel panorama degli incentivi fiscali agli investimenti produttivi, introducendo una nuova forma di </w:t>
      </w:r>
      <w:proofErr w:type="spellStart"/>
      <w:r w:rsidRPr="00A24B99">
        <w:t>iperammortamento</w:t>
      </w:r>
      <w:proofErr w:type="spellEnd"/>
      <w:r w:rsidRPr="00A24B99">
        <w:t xml:space="preserve"> che si colloca all’interno di un più ampio ripensamento delle politiche industriali nazionali. Dopo anni caratterizzati dal predominio dei crediti d’imposta — divenuti lo strumento privilegiato per sostenere la trasformazione tecnologica delle imprese — il legislatore sembra orientarsi verso un modello che recupera la leva della deduzione fiscale maggiorata, con l’obiettivo di rafforzare gli investimenti ad alto contenuto innovativo e, al contempo, semplificare la lettura economica del beneficio.</w:t>
      </w:r>
    </w:p>
    <w:p w:rsidR="00A24B99" w:rsidRPr="00A24B99" w:rsidRDefault="00A24B99" w:rsidP="00A24B99">
      <w:r w:rsidRPr="00A24B99">
        <w:t xml:space="preserve">Il ritorno a una logica di maggiorazione del costo fiscalmente riconosciuto non rappresenta, tuttavia, una mera riproposizione delle misure del passato. Il nuovo </w:t>
      </w:r>
      <w:proofErr w:type="spellStart"/>
      <w:r w:rsidRPr="00A24B99">
        <w:t>iperammortamento</w:t>
      </w:r>
      <w:proofErr w:type="spellEnd"/>
      <w:r w:rsidRPr="00A24B99">
        <w:t xml:space="preserve"> appare inserito in una strategia più selettiva, che privilegia gli investimenti capaci di incidere sulla competitività del sistema produttivo, sulla digitalizzazione dei processi e sull’autonomia tecnologica. In tale prospettiva, la misura assume una duplice valenza: da un lato incentivo fiscale, dall’altro strumento di politica industriale.</w:t>
      </w:r>
    </w:p>
    <w:p w:rsidR="00A24B99" w:rsidRPr="00A24B99" w:rsidRDefault="00A24B99" w:rsidP="00A24B99">
      <w:r w:rsidRPr="00A24B99">
        <w:t>Per le imprese e per i professionisti che le assistono, il tema non si esaurisce nella conoscenza della norma, ma richiede una valutazione più ampia degli effetti economico-finanziari e delle implicazioni in termini di pianificazione fiscale. L’</w:t>
      </w:r>
      <w:proofErr w:type="spellStart"/>
      <w:r w:rsidRPr="00A24B99">
        <w:t>iperammortamento</w:t>
      </w:r>
      <w:proofErr w:type="spellEnd"/>
      <w:r w:rsidRPr="00A24B99">
        <w:t xml:space="preserve"> incide infatti sulla determinazione della base imponibile e, conseguentemente, sulla dinamica del carico tributario nel medio periodo, rendendo necessario un approccio programmatorio più consapevole rispetto alla mera fruizione automatica del beneficio.</w:t>
      </w:r>
    </w:p>
    <w:p w:rsidR="00A24B99" w:rsidRPr="00A24B99" w:rsidRDefault="00A24B99" w:rsidP="00A24B99">
      <w:r w:rsidRPr="00A24B99">
        <w:t>Il presente contributo si propone di analizzare l’architettura della misura alla luce del nuovo contesto normativo, esaminandone ambito applicativo, meccanismo di funzionamento, condizioni di accesso e principali criticità operative. L’obiettivo non è soltanto descrittivo, ma interpretativo: comprendere se il rinnovato ricorso alla leva dell’ammortamento maggiorato possa effettivamente tradursi in un fattore di stimolo agli investimenti o se, al contrario, richieda alle imprese un livello di maturità fiscale e finanziaria più elevato per poterne cogliere appieno le opportunità.</w:t>
      </w:r>
    </w:p>
    <w:p w:rsidR="00A24B99" w:rsidRPr="00A24B99" w:rsidRDefault="00A24B99" w:rsidP="00A24B99">
      <w:pPr>
        <w:rPr>
          <w:b/>
          <w:bCs/>
        </w:rPr>
      </w:pPr>
      <w:r w:rsidRPr="00A24B99">
        <w:rPr>
          <w:b/>
          <w:bCs/>
        </w:rPr>
        <w:t>Introduzione — Il ritorno dell’</w:t>
      </w:r>
      <w:proofErr w:type="spellStart"/>
      <w:r w:rsidRPr="00A24B99">
        <w:rPr>
          <w:b/>
          <w:bCs/>
        </w:rPr>
        <w:t>iperammortamento</w:t>
      </w:r>
      <w:proofErr w:type="spellEnd"/>
      <w:r w:rsidRPr="00A24B99">
        <w:rPr>
          <w:b/>
          <w:bCs/>
        </w:rPr>
        <w:t xml:space="preserve"> nel nuovo ciclo delle politiche industriali</w:t>
      </w:r>
    </w:p>
    <w:p w:rsidR="00A24B99" w:rsidRPr="00A24B99" w:rsidRDefault="00A24B99" w:rsidP="00A24B99">
      <w:r w:rsidRPr="00A24B99">
        <w:t xml:space="preserve">La Legge di Bilancio 2026 segna una discontinuità significativa nella struttura degli incentivi fiscali agli investimenti produttivi, introducendo un nuovo regime di </w:t>
      </w:r>
      <w:proofErr w:type="spellStart"/>
      <w:r w:rsidRPr="00A24B99">
        <w:t>iperammortamento</w:t>
      </w:r>
      <w:proofErr w:type="spellEnd"/>
      <w:r w:rsidRPr="00A24B99">
        <w:t xml:space="preserve"> destinato a sostituire, almeno in parte, la stagione dei crediti d’imposta legati ai programmi Transizione 4.0 e 5.0. </w:t>
      </w:r>
    </w:p>
    <w:p w:rsidR="00A24B99" w:rsidRPr="00A24B99" w:rsidRDefault="00A24B99" w:rsidP="00A24B99">
      <w:r w:rsidRPr="00A24B99">
        <w:t>Non si tratta di un intervento meramente tecnico. Il ritorno alla maggiorazione del costo fiscalmente riconosciuto appare piuttosto il riflesso di una scelta di politica economica che privilegia strumenti capaci di incidere direttamente sulla determinazione della base imponibile, restituendo centralità alla leva dell’ammortamento quale meccanismo di stimolo agli investimenti.</w:t>
      </w:r>
    </w:p>
    <w:p w:rsidR="00A24B99" w:rsidRPr="00A24B99" w:rsidRDefault="00A24B99" w:rsidP="00A24B99">
      <w:r w:rsidRPr="00A24B99">
        <w:t>L’</w:t>
      </w:r>
      <w:proofErr w:type="spellStart"/>
      <w:r w:rsidRPr="00A24B99">
        <w:t>iperammortamento</w:t>
      </w:r>
      <w:proofErr w:type="spellEnd"/>
      <w:r w:rsidRPr="00A24B99">
        <w:t xml:space="preserve">, nella sua nuova configurazione, consente infatti di incrementare il valore fiscale dei beni strumentali ai fini del calcolo delle quote di ammortamento e dei canoni di leasing, generando una riduzione del reddito imponibile distribuita lungo l’intero periodo di deduzione. </w:t>
      </w:r>
      <w:r w:rsidRPr="00A24B99">
        <w:br/>
        <w:t>In questa prospettiva, la misura recupera una logica già sperimentata nell’ordinamento tributario italiano, ma la inserisce in un contesto profondamente mutato, caratterizzato da una crescente attenzione all’autonomia tecnologica, alla digitalizzazione dei processi produttivi e alla transizione energetica.</w:t>
      </w:r>
    </w:p>
    <w:p w:rsidR="00A24B99" w:rsidRPr="00A24B99" w:rsidRDefault="00A24B99" w:rsidP="00A24B99">
      <w:r w:rsidRPr="00A24B99">
        <w:t xml:space="preserve">L’intervento normativo si colloca, inoltre, in un momento storico nel quale la competizione tra sistemi economici si gioca sempre più sulla capacità di sostenere investimenti ad alto contenuto innovativo. Non sorprende, pertanto, che il legislatore abbia scelto di reintrodurre uno strumento percepito dal </w:t>
      </w:r>
      <w:r w:rsidRPr="00A24B99">
        <w:lastRenderedPageBreak/>
        <w:t xml:space="preserve">tessuto imprenditoriale come particolarmente efficace, permettendo di dedurre quote di ammortamento più elevate e, conseguentemente, di alleggerire il carico fiscale. </w:t>
      </w:r>
    </w:p>
    <w:p w:rsidR="00A24B99" w:rsidRPr="00A24B99" w:rsidRDefault="00A24B99" w:rsidP="00A24B99">
      <w:r w:rsidRPr="00A24B99">
        <w:t xml:space="preserve">La misura si applica agli investimenti effettuati in un arco temporale definito — dal 1° gennaio 2026 al 30 settembre 2028 — e riguarda beni materiali e immateriali funzionali ai processi produttivi, purché destinati a strutture situate nel territorio dello Stato. </w:t>
      </w:r>
      <w:r w:rsidRPr="00A24B99">
        <w:br/>
        <w:t>Tale delimitazione temporale rivela un intento chiaramente programmatorio: incentivare decisioni di investimento nel breve e medio periodo, evitando al contempo che il beneficio si trasformi in una componente strutturale del sistema fiscale.</w:t>
      </w:r>
    </w:p>
    <w:p w:rsidR="00A24B99" w:rsidRPr="00A24B99" w:rsidRDefault="00A24B99" w:rsidP="00A24B99">
      <w:r w:rsidRPr="00A24B99">
        <w:t xml:space="preserve">Particolarmente significativa è la previsione di aliquote progressive di maggiorazione, articolate in funzione dell’ammontare dell’investimento: incremento del 180% per gli investimenti fino a 2,5 milioni di euro, del 100% per la quota eccedente fino a 10 milioni e del 50% per gli investimenti fino a 20 milioni. </w:t>
      </w:r>
      <w:r w:rsidRPr="00A24B99">
        <w:br/>
        <w:t>Una struttura di questo tipo sembra perseguire un duplice obiettivo: sostenere le imprese di dimensioni medie — che costituiscono l’ossatura del sistema produttivo — senza escludere i programmi di investimento più rilevanti.</w:t>
      </w:r>
    </w:p>
    <w:p w:rsidR="00A24B99" w:rsidRPr="00A24B99" w:rsidRDefault="00A24B99" w:rsidP="00A24B99">
      <w:r w:rsidRPr="00A24B99">
        <w:t xml:space="preserve">Non meno rilevante è l’estensione dell’agevolazione a beni destinati all’autoproduzione di energia da fonti rinnovabili e ai sistemi di accumulo, purché caratterizzati da requisiti tecnologici elevati. </w:t>
      </w:r>
      <w:r w:rsidRPr="00A24B99">
        <w:br/>
        <w:t>La scelta segnala con chiarezza la volontà di integrare la politica industriale con quella energetica, riconoscendo nell’efficienza e nell’autonomia energetica un fattore competitivo di primaria importanza.</w:t>
      </w:r>
    </w:p>
    <w:p w:rsidR="00A24B99" w:rsidRPr="00A24B99" w:rsidRDefault="00A24B99" w:rsidP="00A24B99">
      <w:r w:rsidRPr="00A24B99">
        <w:t xml:space="preserve">Accanto ai profili di apertura, la norma introduce tuttavia criteri selettivi destinati a incidere sulla platea dei beneficiari. L’accesso è subordinato, tra l’altro, al rispetto delle normative in materia di sicurezza sul lavoro e degli obblighi contributivi, nonché all’assenza di situazioni patologiche quali la liquidazione o l’assoggettamento a procedure concorsuali. </w:t>
      </w:r>
      <w:r w:rsidRPr="00A24B99">
        <w:br/>
        <w:t>Si tratta di condizioni che riflettono una visione dell’incentivo non come misura meramente espansiva, ma come strumento rivolto a imprese strutturalmente solide.</w:t>
      </w:r>
    </w:p>
    <w:p w:rsidR="00A24B99" w:rsidRPr="00A24B99" w:rsidRDefault="00A24B99" w:rsidP="00A24B99">
      <w:r w:rsidRPr="00A24B99">
        <w:t xml:space="preserve">Un ulteriore elemento qualificante è rappresentato dal requisito relativo all’origine dei beni, che devono essere prodotti nell’Unione europea o nello Spazio economico europeo. </w:t>
      </w:r>
      <w:r w:rsidRPr="00A24B99">
        <w:br/>
        <w:t>La previsione, letta in chiave sistemica, appare coerente con le strategie europee volte a rafforzare le filiere industriali interne e ridurre le dipendenze tecnologiche.</w:t>
      </w:r>
    </w:p>
    <w:p w:rsidR="00A24B99" w:rsidRPr="00A24B99" w:rsidRDefault="00A24B99" w:rsidP="00A24B99">
      <w:r w:rsidRPr="00A24B99">
        <w:t>La reintroduzione dell’</w:t>
      </w:r>
      <w:proofErr w:type="spellStart"/>
      <w:r w:rsidRPr="00A24B99">
        <w:t>iperammortamento</w:t>
      </w:r>
      <w:proofErr w:type="spellEnd"/>
      <w:r w:rsidRPr="00A24B99">
        <w:t xml:space="preserve"> si accompagna inoltre a un sistema di comunicazioni e certificazioni da trasmettere attraverso una piattaforma informatica dedicata, secondo modalità demandate a un decreto attuativo. </w:t>
      </w:r>
      <w:r w:rsidRPr="00A24B99">
        <w:br/>
        <w:t>Questo aspetto merita particolare attenzione, poiché segnala un progressivo spostamento verso modelli di controllo ex ante, destinati a rendere la fruizione dell’agevolazione meno automatica rispetto al passato.</w:t>
      </w:r>
    </w:p>
    <w:p w:rsidR="00A24B99" w:rsidRPr="00A24B99" w:rsidRDefault="00A24B99" w:rsidP="00A24B99">
      <w:r w:rsidRPr="00A24B99">
        <w:t xml:space="preserve">Non deve poi essere trascurato il tema della cumulabilità. Il beneficio può coesistere con altri incentivi nazionali o europei, purché non si determini un superamento del costo sostenuto e non si applichino più misure alle medesime porzioni di investimento. </w:t>
      </w:r>
      <w:r w:rsidRPr="00A24B99">
        <w:br/>
        <w:t>Si apre, dunque, uno spazio rilevante per la pianificazione fiscale, chiamata a valutare con attenzione l’integrazione tra strumenti agevolativi diversi.</w:t>
      </w:r>
    </w:p>
    <w:p w:rsidR="00A24B99" w:rsidRPr="00A24B99" w:rsidRDefault="00A24B99" w:rsidP="00A24B99">
      <w:r w:rsidRPr="00A24B99">
        <w:t xml:space="preserve">Letta in controluce, la misura sembra riflettere un mutamento di prospettiva. Dopo una fase in cui il credito d’imposta ha rappresentato lo strumento dominante — apprezzato per la sua immediatezza </w:t>
      </w:r>
      <w:r w:rsidRPr="00A24B99">
        <w:lastRenderedPageBreak/>
        <w:t>finanziaria — il legislatore torna a valorizzare un meccanismo che opera sul reddito imponibile e che, pertanto, richiede una maggiore capacità programmatoria da parte delle imprese.</w:t>
      </w:r>
    </w:p>
    <w:p w:rsidR="00A24B99" w:rsidRPr="00A24B99" w:rsidRDefault="00A24B99" w:rsidP="00A24B99">
      <w:r w:rsidRPr="00A24B99">
        <w:t>Il vantaggio dell’</w:t>
      </w:r>
      <w:proofErr w:type="spellStart"/>
      <w:r w:rsidRPr="00A24B99">
        <w:t>iperammortamento</w:t>
      </w:r>
      <w:proofErr w:type="spellEnd"/>
      <w:r w:rsidRPr="00A24B99">
        <w:t xml:space="preserve"> non si manifesta infatti sotto forma di liquidità immediata, ma attraverso un risparmio fiscale distribuito nel tempo. Ciò implica che il beneficio sia tanto più efficace quanto più l’impresa presenta una prospettiva di redditività stabile, capace di assorbire le maggiori quote deducibili.</w:t>
      </w:r>
    </w:p>
    <w:p w:rsidR="00A24B99" w:rsidRPr="00A24B99" w:rsidRDefault="00A24B99" w:rsidP="00A24B99">
      <w:r w:rsidRPr="00A24B99">
        <w:t>Emergono, pertanto, alcune implicazioni di natura sistemica. L’incentivo tende a premiare le imprese che non solo investono, ma che sono anche in grado di sostenere una traiettoria economica coerente nel medio periodo. In questo senso, l’</w:t>
      </w:r>
      <w:proofErr w:type="spellStart"/>
      <w:r w:rsidRPr="00A24B99">
        <w:t>iperammortamento</w:t>
      </w:r>
      <w:proofErr w:type="spellEnd"/>
      <w:r w:rsidRPr="00A24B99">
        <w:t xml:space="preserve"> appare meno neutrale rispetto al credito d’imposta, selezionando implicitamente operatori caratterizzati da una maggiore solidità prospettica.</w:t>
      </w:r>
    </w:p>
    <w:p w:rsidR="00A24B99" w:rsidRPr="00A24B99" w:rsidRDefault="00A24B99" w:rsidP="00A24B99">
      <w:r w:rsidRPr="00A24B99">
        <w:t>Il quadro che si delinea è quello di una misura che, pur recuperando schemi noti, introduce elementi di discontinuità tali da richiedere una lettura attenta da parte dei professionisti. Non si tratta semplicemente di verificare l’ammissibilità di un investimento, ma di valutarne la coerenza con la struttura finanziaria dell’impresa, con i piani di sviluppo e con la capacità di generare reddito imponibile.</w:t>
      </w:r>
    </w:p>
    <w:p w:rsidR="00A24B99" w:rsidRPr="00A24B99" w:rsidRDefault="00A24B99" w:rsidP="00A24B99">
      <w:r w:rsidRPr="00A24B99">
        <w:t>In questa prospettiva, il ruolo del consulente fiscale è destinato a rafforzarsi. L’</w:t>
      </w:r>
      <w:proofErr w:type="spellStart"/>
      <w:r w:rsidRPr="00A24B99">
        <w:t>iperammortamento</w:t>
      </w:r>
      <w:proofErr w:type="spellEnd"/>
      <w:r w:rsidRPr="00A24B99">
        <w:t xml:space="preserve"> non è un incentivo “automatico” nel senso sostanziale del termine: la sua efficacia dipende dalla qualità delle scelte strategiche che lo precedono.</w:t>
      </w:r>
    </w:p>
    <w:p w:rsidR="00A24B99" w:rsidRPr="00A24B99" w:rsidRDefault="00A24B99" w:rsidP="00A24B99">
      <w:r w:rsidRPr="00A24B99">
        <w:t>La vera novità della misura potrebbe allora risiedere meno nella tecnica agevolativa e più nel modello culturale che sottende. Il legislatore sembra orientato a favorire investimenti consapevoli, inseriti in una logica di programmazione industriale, piuttosto che decisioni opportunistiche dettate dalla sola convenienza fiscale.</w:t>
      </w:r>
    </w:p>
    <w:p w:rsidR="00A24B99" w:rsidRPr="00A24B99" w:rsidRDefault="00A24B99" w:rsidP="00A24B99">
      <w:r w:rsidRPr="00A24B99">
        <w:t>Da qui prende avvio la riflessione che accompagnerà le pagine successive: comprendere se il ritorno dell’</w:t>
      </w:r>
      <w:proofErr w:type="spellStart"/>
      <w:r w:rsidRPr="00A24B99">
        <w:t>iperammortamento</w:t>
      </w:r>
      <w:proofErr w:type="spellEnd"/>
      <w:r w:rsidRPr="00A24B99">
        <w:t xml:space="preserve"> rappresenti soltanto una variazione degli strumenti tributari o se, più profondamente, segnali l’avvio di una nuova stagione nella quale l’incentivo fiscale torna a essere parte integrante della strategia competitiva delle imprese.</w:t>
      </w:r>
    </w:p>
    <w:p w:rsidR="00A24B99" w:rsidRPr="00A24B99" w:rsidRDefault="00A24B99" w:rsidP="00A24B99">
      <w:pPr>
        <w:rPr>
          <w:b/>
          <w:bCs/>
        </w:rPr>
      </w:pPr>
      <w:r w:rsidRPr="00A24B99">
        <w:rPr>
          <w:b/>
          <w:bCs/>
        </w:rPr>
        <w:t>1. Inquadramento normativo della misura: dalla stagione dei crediti d’imposta al ripristino della maggiorazione fiscale</w:t>
      </w:r>
    </w:p>
    <w:p w:rsidR="00A24B99" w:rsidRPr="00A24B99" w:rsidRDefault="00A24B99" w:rsidP="00A24B99">
      <w:r w:rsidRPr="00A24B99">
        <w:t>La reintroduzione dell’</w:t>
      </w:r>
      <w:proofErr w:type="spellStart"/>
      <w:r w:rsidRPr="00A24B99">
        <w:t>iperammortamento</w:t>
      </w:r>
      <w:proofErr w:type="spellEnd"/>
      <w:r w:rsidRPr="00A24B99">
        <w:t xml:space="preserve"> ad opera della Legge di Bilancio 2026 non può essere compresa appieno se non viene letta all’interno della traiettoria evolutiva che ha caratterizzato, negli ultimi anni, il sistema degli incentivi agli investimenti produttivi. Il legislatore italiano ha infatti alternato, con una certa frequenza, strumenti fondati sulla deduzione fiscale a meccanismi di agevolazione diretta, nel tentativo di individuare il punto di equilibrio tra semplicità applicativa, sostenibilità finanziaria e capacità di orientare le scelte delle imprese.</w:t>
      </w:r>
    </w:p>
    <w:p w:rsidR="00A24B99" w:rsidRPr="00A24B99" w:rsidRDefault="00A24B99" w:rsidP="00A24B99">
      <w:r w:rsidRPr="00A24B99">
        <w:t>La prima stagione dell’</w:t>
      </w:r>
      <w:proofErr w:type="spellStart"/>
      <w:r w:rsidRPr="00A24B99">
        <w:t>iperammortamento</w:t>
      </w:r>
      <w:proofErr w:type="spellEnd"/>
      <w:r w:rsidRPr="00A24B99">
        <w:t xml:space="preserve"> — introdotta nel quadro del Piano Industria 4.0 — aveva rappresentato una svolta culturale prima ancora che fiscale. L’idea di fondo era chiara: favorire un salto tecnologico del sistema produttivo attraverso una maggiorazione figurativa del costo dei beni strumentali, consentendo alle imprese di dedurre quote di ammortamento superiori rispetto a quelle civilisticamente imputate. Non si trattava di un contributo diretto, bensì di un alleggerimento progressivo del carico tributario.</w:t>
      </w:r>
    </w:p>
    <w:p w:rsidR="00A24B99" w:rsidRPr="00A24B99" w:rsidRDefault="00A24B99" w:rsidP="00A24B99">
      <w:r w:rsidRPr="00A24B99">
        <w:t xml:space="preserve">Questo impianto presentava una caratteristica rilevante: il beneficio risultava strettamente correlato alla capacità dell’impresa di produrre reddito imponibile. L’agevolazione non generava liquidità immediata, ma un risparmio fiscale distribuito lungo l’orizzonte temporale dell’ammortamento. Ne </w:t>
      </w:r>
      <w:r w:rsidRPr="00A24B99">
        <w:lastRenderedPageBreak/>
        <w:t>derivava una selezione implicita a favore delle imprese economicamente più solide o, quantomeno, dotate di prospettive reddituali credibili.</w:t>
      </w:r>
    </w:p>
    <w:p w:rsidR="00A24B99" w:rsidRPr="00A24B99" w:rsidRDefault="00A24B99" w:rsidP="00A24B99">
      <w:r w:rsidRPr="00A24B99">
        <w:t>Negli anni successivi, tuttavia, il legislatore aveva progressivamente abbandonato tale modello, orientandosi verso il credito d’imposta quale strumento privilegiato di politica industriale. La ragione di questa scelta era riconducibile a diversi fattori.</w:t>
      </w:r>
    </w:p>
    <w:p w:rsidR="00A24B99" w:rsidRPr="00A24B99" w:rsidRDefault="00A24B99" w:rsidP="00A24B99">
      <w:r w:rsidRPr="00A24B99">
        <w:t>In primo luogo, il credito d’imposta offriva una percezione di maggiore immediatezza finanziaria. Pur essendo spesso utilizzabile in compensazione in più esercizi, esso veniva letto dalle imprese come un beneficio più tangibile rispetto alla deduzione maggiorata. In secondo luogo, il meccanismo appariva, almeno in apparenza, più neutrale rispetto alla redditività, consentendo anche a soggetti con imponibili contenuti di accedere all’agevolazione.</w:t>
      </w:r>
    </w:p>
    <w:p w:rsidR="00A24B99" w:rsidRPr="00A24B99" w:rsidRDefault="00A24B99" w:rsidP="00A24B99">
      <w:r w:rsidRPr="00A24B99">
        <w:t>Non va poi trascurato che il credito d’imposta si inseriva più agevolmente nel quadro delle politiche europee di sostegno agli investimenti, caratterizzate da una crescente attenzione alla misurabilità degli aiuti di Stato.</w:t>
      </w:r>
    </w:p>
    <w:p w:rsidR="00A24B99" w:rsidRPr="00A24B99" w:rsidRDefault="00A24B99" w:rsidP="00A24B99">
      <w:r w:rsidRPr="00A24B99">
        <w:t>Eppure, proprio l’esperienza applicativa ha progressivamente fatto emergere alcune criticità.</w:t>
      </w:r>
    </w:p>
    <w:p w:rsidR="00A24B99" w:rsidRPr="00A24B99" w:rsidRDefault="00A24B99" w:rsidP="00A24B99">
      <w:r w:rsidRPr="00A24B99">
        <w:t>Da un lato, la moltiplicazione dei crediti ha contribuito a rendere il sistema tributario più complesso, aumentando il fabbisogno di controlli e alimentando un contenzioso non sempre trascurabile. Dall’altro, la percezione di un beneficio “quasi finanziario” ha talvolta favorito un approccio opportunistico, nel quale la valutazione industriale dell’investimento rischiava di passare in secondo piano rispetto alla convenienza fiscale.</w:t>
      </w:r>
    </w:p>
    <w:p w:rsidR="00A24B99" w:rsidRPr="00A24B99" w:rsidRDefault="00A24B99" w:rsidP="00A24B99">
      <w:r w:rsidRPr="00A24B99">
        <w:t>Il ritorno all’</w:t>
      </w:r>
      <w:proofErr w:type="spellStart"/>
      <w:r w:rsidRPr="00A24B99">
        <w:t>iperammortamento</w:t>
      </w:r>
      <w:proofErr w:type="spellEnd"/>
      <w:r w:rsidRPr="00A24B99">
        <w:t xml:space="preserve"> sembra dunque riflettere un mutamento di sensibilità. Il legislatore pare voler recuperare uno strumento capace di ristabilire un legame più diretto tra incentivo e capacità produttiva, premiando le imprese che inseriscono l’investimento in una strategia di crescita e non soltanto in una logica di vantaggio immediato.</w:t>
      </w:r>
    </w:p>
    <w:p w:rsidR="00A24B99" w:rsidRPr="00A24B99" w:rsidRDefault="00A24B99" w:rsidP="00A24B99">
      <w:r w:rsidRPr="00A24B99">
        <w:t>In questa prospettiva, la maggiorazione del costo fiscalmente riconosciuto assume un significato che trascende la dimensione tecnica. Essa rappresenta una forma di incentivo “responsabilizzante”, poiché il beneficio si realizza pienamente solo laddove l’impresa riesca a generare reddito nel tempo.</w:t>
      </w:r>
    </w:p>
    <w:p w:rsidR="00A24B99" w:rsidRPr="00A24B99" w:rsidRDefault="00A24B99" w:rsidP="00A24B99">
      <w:r w:rsidRPr="00A24B99">
        <w:t>Sotto il profilo strettamente giuridico, l’</w:t>
      </w:r>
      <w:proofErr w:type="spellStart"/>
      <w:r w:rsidRPr="00A24B99">
        <w:t>iperammortamento</w:t>
      </w:r>
      <w:proofErr w:type="spellEnd"/>
      <w:r w:rsidRPr="00A24B99">
        <w:t xml:space="preserve"> si configura come una variazione in diminuzione extracontabile da operare in sede di dichiarazione dei redditi. Il maggior valore attribuito al bene non incide sul bilancio civilistico, ma rileva esclusivamente ai fini fiscali, determinando una divergenza temporanea tra risultato civilistico e imponibile tributario.</w:t>
      </w:r>
    </w:p>
    <w:p w:rsidR="00A24B99" w:rsidRPr="00A24B99" w:rsidRDefault="00A24B99" w:rsidP="00A24B99">
      <w:r w:rsidRPr="00A24B99">
        <w:t>Questa impostazione si colloca nel solco dei principi generali che governano il rapporto tra bilancio e reddito d’impresa, delineato dagli articoli 83 e seguenti del TUIR (D.P.R. 22 dicembre 1986, n. 917). Il sistema fiscale, pur assumendo il bilancio quale punto di partenza, consente infatti una serie di rettifiche destinate ad allineare la base imponibile agli obiettivi di politica economica perseguiti dal legislatore.</w:t>
      </w:r>
    </w:p>
    <w:p w:rsidR="00A24B99" w:rsidRPr="00A24B99" w:rsidRDefault="00A24B99" w:rsidP="00A24B99">
      <w:r w:rsidRPr="00A24B99">
        <w:t>L’</w:t>
      </w:r>
      <w:proofErr w:type="spellStart"/>
      <w:r w:rsidRPr="00A24B99">
        <w:t>iperammortamento</w:t>
      </w:r>
      <w:proofErr w:type="spellEnd"/>
      <w:r w:rsidRPr="00A24B99">
        <w:t xml:space="preserve"> rappresenta, da questo punto di vista, una delle più evidenti manifestazioni della funzione extrafiscale dell’imposizione sul reddito d’impresa. Non si limita a raccogliere risorse, ma orienta i comportamenti economici, incentivando specifiche tipologie di investimento.</w:t>
      </w:r>
    </w:p>
    <w:p w:rsidR="00A24B99" w:rsidRPr="00A24B99" w:rsidRDefault="00A24B99" w:rsidP="00A24B99">
      <w:r w:rsidRPr="00A24B99">
        <w:t>La nuova disciplina introdotta dalla Legge di Bilancio 2026 appare tuttavia caratterizzata da una maggiore selettività rispetto al passato. Il legislatore sembra aver fatto tesoro dell’esperienza maturata, evitando automatismi e introducendo criteri volti a indirizzare le risorse verso investimenti ritenuti strategici.</w:t>
      </w:r>
    </w:p>
    <w:p w:rsidR="00A24B99" w:rsidRPr="00A24B99" w:rsidRDefault="00A24B99" w:rsidP="00A24B99">
      <w:r w:rsidRPr="00A24B99">
        <w:lastRenderedPageBreak/>
        <w:t>Si delinea così una misura che non persegue soltanto obiettivi di stimolo congiunturale, ma ambisce a incidere sulla struttura competitiva del sistema produttivo.</w:t>
      </w:r>
    </w:p>
    <w:p w:rsidR="00A24B99" w:rsidRPr="00A24B99" w:rsidRDefault="00A24B99" w:rsidP="00A24B99">
      <w:r w:rsidRPr="00A24B99">
        <w:t xml:space="preserve">Un ulteriore elemento merita attenzione. Il ritorno all’ammortamento maggiorato avviene in un contesto macroeconomico profondamente diverso rispetto a quello in cui era nato il primo </w:t>
      </w:r>
      <w:proofErr w:type="spellStart"/>
      <w:r w:rsidRPr="00A24B99">
        <w:t>iperammortamento</w:t>
      </w:r>
      <w:proofErr w:type="spellEnd"/>
      <w:r w:rsidRPr="00A24B99">
        <w:t>. Le tensioni sulle catene di approvvigionamento, la crescente competizione tecnologica e la centralità delle transizioni digitale ed energetica hanno rafforzato l’idea che la politica fiscale debba svolgere un ruolo attivo nel sostenere l’autonomia industriale.</w:t>
      </w:r>
    </w:p>
    <w:p w:rsidR="00A24B99" w:rsidRPr="00A24B99" w:rsidRDefault="00A24B99" w:rsidP="00A24B99">
      <w:r w:rsidRPr="00A24B99">
        <w:t>Non è un caso che la misura venga letta da molti osservatori come parte di una strategia più ampia, volta a ridurre le dipendenze tecnologiche e a favorire investimenti localizzati all’interno dello spazio economico europeo. La leva fiscale diventa, così, uno strumento di geopolitica economica oltre che di politica industriale.</w:t>
      </w:r>
    </w:p>
    <w:p w:rsidR="00A24B99" w:rsidRPr="00A24B99" w:rsidRDefault="00A24B99" w:rsidP="00A24B99">
      <w:r w:rsidRPr="00A24B99">
        <w:t>Sotto il profilo sistematico, la scelta di privilegiare nuovamente la deduzione rispetto al credito solleva anche interrogativi di natura finanziaria. Il beneficio dell’</w:t>
      </w:r>
      <w:proofErr w:type="spellStart"/>
      <w:r w:rsidRPr="00A24B99">
        <w:t>iperammortamento</w:t>
      </w:r>
      <w:proofErr w:type="spellEnd"/>
      <w:r w:rsidRPr="00A24B99">
        <w:t xml:space="preserve"> si distribuisce infatti su più esercizi, producendo effetti diluiti sui saldi di finanza pubblica. Ciò può risultare particolarmente rilevante in una fase storica nella quale la sostenibilità dei conti rappresenta una variabile sempre più monitorata a livello europeo.</w:t>
      </w:r>
    </w:p>
    <w:p w:rsidR="00A24B99" w:rsidRPr="00A24B99" w:rsidRDefault="00A24B99" w:rsidP="00A24B99">
      <w:r w:rsidRPr="00A24B99">
        <w:t>Non deve poi essere sottovalutata la maggiore coerenza che tale strumento presenta rispetto alla logica dell’investimento produttivo. L’ammortamento, per sua natura, accompagna il processo di utilizzo economico del bene; la maggiorazione fiscale rafforza questa correlazione, evitando che l’incentivo si esaurisca in un vantaggio anticipato rispetto alla vita utile dell’investimento.</w:t>
      </w:r>
    </w:p>
    <w:p w:rsidR="00A24B99" w:rsidRPr="00A24B99" w:rsidRDefault="00A24B99" w:rsidP="00A24B99">
      <w:r w:rsidRPr="00A24B99">
        <w:t>Da questa angolazione, l’</w:t>
      </w:r>
      <w:proofErr w:type="spellStart"/>
      <w:r w:rsidRPr="00A24B99">
        <w:t>iperammortamento</w:t>
      </w:r>
      <w:proofErr w:type="spellEnd"/>
      <w:r w:rsidRPr="00A24B99">
        <w:t xml:space="preserve"> appare meno esposto al rischio di generare distorsioni temporali nelle decisioni aziendali.</w:t>
      </w:r>
    </w:p>
    <w:p w:rsidR="00A24B99" w:rsidRPr="00A24B99" w:rsidRDefault="00A24B99" w:rsidP="00A24B99">
      <w:r w:rsidRPr="00A24B99">
        <w:t>Naturalmente, la misura non è priva di implicazioni operative. La divergenza tra valori civilistici e fiscali richiede una gestione attenta delle imposte differite, nonché un monitoraggio puntuale delle variazioni in dichiarazione. Per le imprese di maggiori dimensioni, ciò rappresenta un’attività ordinaria; per le realtà meno strutturate, può tradursi in un aumento della complessità amministrativa.</w:t>
      </w:r>
    </w:p>
    <w:p w:rsidR="00A24B99" w:rsidRPr="00A24B99" w:rsidRDefault="00A24B99" w:rsidP="00A24B99">
      <w:r w:rsidRPr="00A24B99">
        <w:t>È proprio in questo spazio che il ruolo del professionista assume una valenza decisiva. L’</w:t>
      </w:r>
      <w:proofErr w:type="spellStart"/>
      <w:r w:rsidRPr="00A24B99">
        <w:t>iperammortamento</w:t>
      </w:r>
      <w:proofErr w:type="spellEnd"/>
      <w:r w:rsidRPr="00A24B99">
        <w:t xml:space="preserve"> non è un incentivo che possa essere valutato isolatamente; esso interagisce con la struttura finanziaria dell’impresa, con la pianificazione degli investimenti e con le prospettive reddituali. Una lettura meramente fiscale rischierebbe di restituire un’immagine parziale del suo impatto.</w:t>
      </w:r>
    </w:p>
    <w:p w:rsidR="00A24B99" w:rsidRPr="00A24B99" w:rsidRDefault="00A24B99" w:rsidP="00A24B99">
      <w:r w:rsidRPr="00A24B99">
        <w:t>Più che una semplice agevolazione, la misura si configura come uno strumento di pianificazione.</w:t>
      </w:r>
    </w:p>
    <w:p w:rsidR="00A24B99" w:rsidRPr="00A24B99" w:rsidRDefault="00A24B99" w:rsidP="00A24B99">
      <w:r w:rsidRPr="00A24B99">
        <w:t>In definitiva, l’inquadramento normativo dell’</w:t>
      </w:r>
      <w:proofErr w:type="spellStart"/>
      <w:r w:rsidRPr="00A24B99">
        <w:t>iperammortamento</w:t>
      </w:r>
      <w:proofErr w:type="spellEnd"/>
      <w:r w:rsidRPr="00A24B99">
        <w:t xml:space="preserve"> ex Legge di Bilancio 2026 suggerisce una riflessione più ampia sul rapporto tra fisco e sviluppo economico. Il legislatore sembra voler recuperare una visione nella quale l’incentivo non si limita a sostenere la domanda di beni strumentali, ma contribuisce a orientare la qualità degli investimenti.</w:t>
      </w:r>
    </w:p>
    <w:p w:rsidR="00A24B99" w:rsidRPr="00A24B99" w:rsidRDefault="00A24B99" w:rsidP="00A24B99">
      <w:r w:rsidRPr="00A24B99">
        <w:t>Non siamo di fronte a un ritorno nostalgico al passato, bensì a una rielaborazione di strumenti già noti alla luce delle nuove esigenze competitive. La vera sfida non consisterà tanto nella comprensione della norma — pur necessaria — quanto nella capacità di interpretarne la funzione sistemica.</w:t>
      </w:r>
    </w:p>
    <w:p w:rsidR="00A24B99" w:rsidRPr="00A24B99" w:rsidRDefault="00A24B99" w:rsidP="00A24B99">
      <w:r w:rsidRPr="00A24B99">
        <w:t>Perché, come spesso accade in materia tributaria, la tecnica è soltanto il veicolo attraverso cui si esprime una scelta di politica economica più profonda.</w:t>
      </w:r>
    </w:p>
    <w:p w:rsidR="00A24B99" w:rsidRPr="00A24B99" w:rsidRDefault="00A24B99" w:rsidP="00A24B99">
      <w:pPr>
        <w:rPr>
          <w:b/>
          <w:bCs/>
        </w:rPr>
      </w:pPr>
      <w:r w:rsidRPr="00A24B99">
        <w:rPr>
          <w:b/>
          <w:bCs/>
        </w:rPr>
        <w:lastRenderedPageBreak/>
        <w:t>2. Ambito soggettivo e oggettivo: quali imprese possono accedere e quali investimenti risultano agevolabili</w:t>
      </w:r>
    </w:p>
    <w:p w:rsidR="00A24B99" w:rsidRPr="00A24B99" w:rsidRDefault="00A24B99" w:rsidP="00A24B99">
      <w:r w:rsidRPr="00A24B99">
        <w:t>Definire l’ambito applicativo dell’</w:t>
      </w:r>
      <w:proofErr w:type="spellStart"/>
      <w:r w:rsidRPr="00A24B99">
        <w:t>iperammortamento</w:t>
      </w:r>
      <w:proofErr w:type="spellEnd"/>
      <w:r w:rsidRPr="00A24B99">
        <w:t xml:space="preserve"> ex Legge di Bilancio 2026 significa, innanzitutto, distinguere con chiarezza il perimetro soggettivo dei beneficiari da quello oggettivo degli investimenti agevolabili. È un passaggio che, nella pratica professionale, assume un rilievo decisivo: l’</w:t>
      </w:r>
      <w:proofErr w:type="spellStart"/>
      <w:r w:rsidRPr="00A24B99">
        <w:t>iperammortamento</w:t>
      </w:r>
      <w:proofErr w:type="spellEnd"/>
      <w:r w:rsidRPr="00A24B99">
        <w:t xml:space="preserve"> non è una misura “generica” a favore dell’acquisto di beni strumentali, ma un’agevolazione selettiva, costruita attorno a requisiti di destinatario e di bene, nonché a vincoli documentali destinati a incidere sulla fruibilità concreta del beneficio.</w:t>
      </w:r>
    </w:p>
    <w:p w:rsidR="00A24B99" w:rsidRPr="00A24B99" w:rsidRDefault="00A24B99" w:rsidP="00A24B99">
      <w:r w:rsidRPr="00A24B99">
        <w:t>Sul versante soggettivo, la disciplina è introdotta dalla Legge di Bilancio 2026 (Legge 30 dicembre 2025, n. 199) e si colloca nel corpo dell’articolo 1, commi dedicati alla nuova maxi-deduzione/</w:t>
      </w:r>
      <w:proofErr w:type="spellStart"/>
      <w:r w:rsidRPr="00A24B99">
        <w:t>iperammortamento</w:t>
      </w:r>
      <w:proofErr w:type="spellEnd"/>
      <w:r w:rsidRPr="00A24B99">
        <w:t xml:space="preserve">. La misura, nella sua impostazione, si rivolge alle imprese che effettuano investimenti in beni strumentali nuovi destinati a strutture produttive situate nel territorio dello Stato, con la conseguenza che la fruizione presuppone l’esistenza di un’attività d’impresa in senso proprio e l’inerenza dell’investimento al processo produttivo. </w:t>
      </w:r>
    </w:p>
    <w:p w:rsidR="00A24B99" w:rsidRPr="00A24B99" w:rsidRDefault="00A24B99" w:rsidP="00A24B99">
      <w:r w:rsidRPr="00A24B99">
        <w:t>Questo punto merita una sottolineatura: l’</w:t>
      </w:r>
      <w:proofErr w:type="spellStart"/>
      <w:r w:rsidRPr="00A24B99">
        <w:t>iperammortamento</w:t>
      </w:r>
      <w:proofErr w:type="spellEnd"/>
      <w:r w:rsidRPr="00A24B99">
        <w:t xml:space="preserve">, operando come maggiorazione del costo fiscalmente riconosciuto e traducendosi in maggiori quote di ammortamento (o in maggiori canoni deducibili nel caso del leasing), presuppone fisiologicamente la presenza di un reddito d’impresa sul quale la deduzione possa esplicare i propri effetti. È una differenza strutturale rispetto ai crediti d’imposta “a trazione finanziaria”, che negli anni precedenti hanno consentito una percezione più immediata del beneficio anche in contesti di imponibile ridotto. La logica del nuovo strumento è, invece, coerente con un incentivo che si manifesta nel tempo e che tende a risultare pienamente efficace in presenza di una redditività capace di assorbire l’extra-deduzione. </w:t>
      </w:r>
    </w:p>
    <w:p w:rsidR="00A24B99" w:rsidRPr="00A24B99" w:rsidRDefault="00A24B99" w:rsidP="00A24B99">
      <w:r w:rsidRPr="00A24B99">
        <w:t>Accanto a tale profilo, la norma introduce un criterio selettivo particolarmente significativo: l’agevolazione è subordinata alla circostanza che i beni siano nuovi e prodotti in Stati membri dell’Unione europea o in Stati aderenti all’Accordo sullo Spazio economico europeo. Il requisito, letto sul piano sistemico, segnala un’impostazione che non mira soltanto a stimolare l’investimento in quanto tale, ma anche a orientarlo verso filiere considerate coerenti con gli obiettivi di politica industriale e di autonomia tecnologica.</w:t>
      </w:r>
    </w:p>
    <w:p w:rsidR="00A24B99" w:rsidRPr="00A24B99" w:rsidRDefault="00A24B99" w:rsidP="00A24B99">
      <w:r w:rsidRPr="00A24B99">
        <w:t>Passando al profilo oggettivo, l’</w:t>
      </w:r>
      <w:proofErr w:type="spellStart"/>
      <w:r w:rsidRPr="00A24B99">
        <w:t>iperammortamento</w:t>
      </w:r>
      <w:proofErr w:type="spellEnd"/>
      <w:r w:rsidRPr="00A24B99">
        <w:t xml:space="preserve"> è costruito attorno alla nozione di “beni agevolabili” che non coincide con la categoria civilistica dei beni strumentali, ma è delimitata da elenchi e requisiti tecnologici. La Legge di Bilancio 2026 aggiorna la tecnica già nota nella stagione Industria 4.0, sostituendo i precedenti allegati “A” e “B” con nuovi elenchi, richiamati in dottrina e nella prassi come Allegati IV e V. Ne discende un’impostazione per cui l’</w:t>
      </w:r>
      <w:proofErr w:type="spellStart"/>
      <w:r w:rsidRPr="00A24B99">
        <w:t>agevolabilità</w:t>
      </w:r>
      <w:proofErr w:type="spellEnd"/>
      <w:r w:rsidRPr="00A24B99">
        <w:t xml:space="preserve"> non si fonda su valutazioni “elastiche” circa l’innovatività del bene, ma su un criterio oggettivo: il bene deve rientrare negli elenchi normativi e possedere le caratteristiche richieste, inclusa — ove prevista — l’interconnessione ai sistemi informatici di fabbrica.</w:t>
      </w:r>
    </w:p>
    <w:p w:rsidR="00A24B99" w:rsidRPr="00A24B99" w:rsidRDefault="00A24B99" w:rsidP="00A24B99">
      <w:r w:rsidRPr="00A24B99">
        <w:t>Il nucleo dell’agevolazione riguarda, dunque, i beni strumentali materiali nuovi “4.0”, ossia beni a elevato contenuto tecnologico, destinati a trasformare i processi produttivi mediante automazione, digitalizzazione, integrazione dei sistemi e controllo intelligente. A questo ambito si affianca quello dei beni immateriali connessi ai processi di trasformazione digitale, secondo un’impostazione che riprende la ratio originaria del paradigma 4.0: non incentivare indiscriminatamente l’acquisto di cespiti, ma sostenere investimenti capaci di incidere sull’organizzazione produttiva e sulla qualità dei dati aziendali.</w:t>
      </w:r>
    </w:p>
    <w:p w:rsidR="00A24B99" w:rsidRPr="00A24B99" w:rsidRDefault="00A24B99" w:rsidP="00A24B99">
      <w:r w:rsidRPr="00A24B99">
        <w:t xml:space="preserve">Nella disciplina 2026 assume inoltre rilievo il collegamento tra investimento e localizzazione produttiva. Il beneficio è riconosciuto per beni destinati a strutture ubicate nel territorio dello Stato, </w:t>
      </w:r>
      <w:r w:rsidRPr="00A24B99">
        <w:lastRenderedPageBreak/>
        <w:t>circostanza che incide sia sulla pianificazione di gruppi con articolazioni internazionali, sia sulla gestione di investimenti mobili o “allocabili” (si pensi a determinate categorie di impianti, macchinari o infrastrutture tecnologiche). La territorialità dell’impiego non è un dettaglio, ma un elemento che conferma la finalità industriale della misura: sostenere capacità produttiva insediata in Italia.</w:t>
      </w:r>
    </w:p>
    <w:p w:rsidR="00A24B99" w:rsidRPr="00A24B99" w:rsidRDefault="00A24B99" w:rsidP="00A24B99">
      <w:r w:rsidRPr="00A24B99">
        <w:t>Altro profilo operativo, spesso sottovalutato in fase di valutazione preliminare, è la relazione tra bene agevolabile e modalità di acquisizione. Il meccanismo dell’</w:t>
      </w:r>
      <w:proofErr w:type="spellStart"/>
      <w:r w:rsidRPr="00A24B99">
        <w:t>iperammortamento</w:t>
      </w:r>
      <w:proofErr w:type="spellEnd"/>
      <w:r w:rsidRPr="00A24B99">
        <w:t>, per sua natura, si riflette sia sulle quote di ammortamento dei beni acquisiti in proprietà, sia sulla deducibilità dei canoni nel caso di leasing, secondo la logica per cui la maggiorazione opera sul costo fiscalmente riconosciuto e, conseguentemente, sul piano di deduzione. Questo aspetto ha un impatto pratico rilevante: la scelta tra acquisto diretto e leasing, che spesso risponde a esigenze finanziarie o di gestione del rischio, diventa anche una variabile di pianificazione fiscale, poiché incide sul profilo temporale del beneficio.</w:t>
      </w:r>
    </w:p>
    <w:p w:rsidR="00A24B99" w:rsidRPr="00A24B99" w:rsidRDefault="00A24B99" w:rsidP="00A24B99">
      <w:r w:rsidRPr="00A24B99">
        <w:t>Infine, l’oggettività dell’elenco normativo non elimina, ma anzi amplifica, un’esigenza tipica delle misure 4.0: la corretta qualificazione del bene e la dimostrabilità dei requisiti. La prassi richiamata in dottrina evidenzia che, per beni oltre determinate soglie, è richiesta una perizia (o attestazione) e, per beni di minore valore, può essere ammessa una dichiarazione del legale rappresentante, con evidenti ricadute sul piano della responsabilità e dei controlli. In termini sostanziali, ciò significa che l’agevolazione non si esaurisce nell’acquisto, ma si “costruisce” attraverso una filiera documentale: classificazione corretta, prova della novità, verifica dell’appartenenza agli allegati, e — ove richiesto — prova dell’interconnessione.</w:t>
      </w:r>
    </w:p>
    <w:p w:rsidR="00A24B99" w:rsidRPr="00A24B99" w:rsidRDefault="00A24B99" w:rsidP="00A24B99">
      <w:r w:rsidRPr="00A24B99">
        <w:t>In questa prospettiva, l’ambito soggettivo e oggettivo non rappresenta una sezione meramente descrittiva, ma il primo snodo di rischio applicativo. L’</w:t>
      </w:r>
      <w:proofErr w:type="spellStart"/>
      <w:r w:rsidRPr="00A24B99">
        <w:t>iperammortamento</w:t>
      </w:r>
      <w:proofErr w:type="spellEnd"/>
      <w:r w:rsidRPr="00A24B99">
        <w:t xml:space="preserve"> 2026 è, per struttura, un incentivo che premia l’investimento qualificato e dimostrabile. Ed è proprio qui che si misura il valore aggiunto del professionista: non solo verificare se l’investimento “potrebbe” rientrare, ma impostare fin dall’origine un percorso di compliance che renda l’agevolazione difendibile, prima ancora che conveniente.</w:t>
      </w:r>
    </w:p>
    <w:p w:rsidR="00A24B99" w:rsidRPr="00A24B99" w:rsidRDefault="00A24B99" w:rsidP="00A24B99">
      <w:pPr>
        <w:rPr>
          <w:b/>
          <w:bCs/>
        </w:rPr>
      </w:pPr>
      <w:r w:rsidRPr="00A24B99">
        <w:rPr>
          <w:b/>
          <w:bCs/>
        </w:rPr>
        <w:t>3. Meccanismo di funzionamento dell’</w:t>
      </w:r>
      <w:proofErr w:type="spellStart"/>
      <w:r w:rsidRPr="00A24B99">
        <w:rPr>
          <w:b/>
          <w:bCs/>
        </w:rPr>
        <w:t>iperammortamento</w:t>
      </w:r>
      <w:proofErr w:type="spellEnd"/>
      <w:r w:rsidRPr="00A24B99">
        <w:rPr>
          <w:b/>
          <w:bCs/>
        </w:rPr>
        <w:t>: maggiorazioni, scaglioni e impatto sulla base imponibile</w:t>
      </w:r>
    </w:p>
    <w:p w:rsidR="00A24B99" w:rsidRPr="00A24B99" w:rsidRDefault="00A24B99" w:rsidP="00A24B99">
      <w:r w:rsidRPr="00A24B99">
        <w:t>Il cuore tecnico dell’</w:t>
      </w:r>
      <w:proofErr w:type="spellStart"/>
      <w:r w:rsidRPr="00A24B99">
        <w:t>iperammortamento</w:t>
      </w:r>
      <w:proofErr w:type="spellEnd"/>
      <w:r w:rsidRPr="00A24B99">
        <w:t xml:space="preserve"> ex Legge di Bilancio 2026 risiede nella sua natura di “maxi-deduzione” costruita attraverso la maggiorazione del costo fiscalmente riconosciuto dei beni agevolabili. In termini sostanziali, la misura non attribuisce un contributo diretto né un credito utilizzabile in compensazione, ma consente di dedurre, lungo il periodo di ammortamento (o lungo la durata fiscale del leasing), quote complessivamente superiori rispetto a quelle che sarebbero state deducibili in assenza dell’incentivo. È, dunque, un beneficio che opera sul reddito imponibile e si manifesta come risparmio d’imposta distribuito nel tempo, secondo una logica coerente con l’utilizzo economico del bene.</w:t>
      </w:r>
    </w:p>
    <w:p w:rsidR="00A24B99" w:rsidRPr="00A24B99" w:rsidRDefault="00A24B99" w:rsidP="00A24B99">
      <w:r w:rsidRPr="00A24B99">
        <w:t>Il meccanismo è esplicitamente ancorato alle regole ordinarie di ammortamento previste dal TUIR. La quota deducibile “base” continua a essere determinata secondo gli articoli 102 e 103 del D.P.R. 917/1986, ossia secondo le percentuali fiscali applicabili alle categorie di beni, mentre l’effetto dell’</w:t>
      </w:r>
      <w:proofErr w:type="spellStart"/>
      <w:r w:rsidRPr="00A24B99">
        <w:t>iperammortamento</w:t>
      </w:r>
      <w:proofErr w:type="spellEnd"/>
      <w:r w:rsidRPr="00A24B99">
        <w:t xml:space="preserve"> si realizza come quota “aggiuntiva” indicata </w:t>
      </w:r>
      <w:proofErr w:type="spellStart"/>
      <w:r w:rsidRPr="00A24B99">
        <w:t>extracontabilmente</w:t>
      </w:r>
      <w:proofErr w:type="spellEnd"/>
      <w:r w:rsidRPr="00A24B99">
        <w:t xml:space="preserve"> in dichiarazione dei redditi. </w:t>
      </w:r>
    </w:p>
    <w:p w:rsidR="00A24B99" w:rsidRPr="00A24B99" w:rsidRDefault="00A24B99" w:rsidP="00A24B99">
      <w:r w:rsidRPr="00A24B99">
        <w:t>Questa impostazione chiarisce un punto spesso oggetto di fraintendimenti: l’</w:t>
      </w:r>
      <w:proofErr w:type="spellStart"/>
      <w:r w:rsidRPr="00A24B99">
        <w:t>iperammortamento</w:t>
      </w:r>
      <w:proofErr w:type="spellEnd"/>
      <w:r w:rsidRPr="00A24B99">
        <w:t xml:space="preserve"> non modifica il bilancio civilistico e non incide sui criteri di ammortamento adottati in contabilità. Il bene continua a essere iscritto al costo storico e ammortizzato secondo le regole civilistiche (OIC o IFRS, a seconda dei casi), mentre l’extra-deduzione opera esclusivamente in ambito fiscale, producendo una </w:t>
      </w:r>
      <w:r w:rsidRPr="00A24B99">
        <w:lastRenderedPageBreak/>
        <w:t>divergenza tra risultato civilistico e imponibile. È, in altri termini, un incentivo che vive nella dichiarazione, non nel conto economico.</w:t>
      </w:r>
    </w:p>
    <w:p w:rsidR="00A24B99" w:rsidRPr="00A24B99" w:rsidRDefault="00A24B99" w:rsidP="00A24B99">
      <w:r w:rsidRPr="00A24B99">
        <w:t xml:space="preserve">Sul piano quantitativo, la Legge di Bilancio 2026 struttura la maggiorazione del costo attraverso scaglioni progressivi legati all’ammontare dell’investimento: la quota di investimento fino a 2,5 milioni di euro beneficia della maggiorazione più elevata; la parte eccedente fino a 10 milioni beneficia di una maggiorazione intermedia; la parte ulteriore fino a 20 milioni beneficia di una maggiorazione ridotta. Questa architettura, richiamata anche nelle sintesi istituzionali, mostra l’intento di sostenere in modo significativo gli investimenti di dimensione medio-piccola, senza tuttavia escludere programmi più rilevanti, ma con intensità decrescente. </w:t>
      </w:r>
    </w:p>
    <w:p w:rsidR="00A24B99" w:rsidRPr="00A24B99" w:rsidRDefault="00A24B99" w:rsidP="00A24B99">
      <w:r w:rsidRPr="00A24B99">
        <w:t>Il dato più rilevante, per il professionista, è che l’agevolazione opera “per scaglioni” e non come aliquota unica sull’intero investimento. Ciò implica che la convenienza marginale dell’</w:t>
      </w:r>
      <w:proofErr w:type="spellStart"/>
      <w:r w:rsidRPr="00A24B99">
        <w:t>iperammortamento</w:t>
      </w:r>
      <w:proofErr w:type="spellEnd"/>
      <w:r w:rsidRPr="00A24B99">
        <w:t xml:space="preserve"> si riduce al crescere del costo complessivo e che, in fase di pianificazione, l’impresa dovrebbe valutare con attenzione la segmentazione degli investimenti e la loro calendarizzazione, soprattutto quando si muove in prossimità delle soglie.</w:t>
      </w:r>
    </w:p>
    <w:p w:rsidR="00A24B99" w:rsidRPr="00A24B99" w:rsidRDefault="00A24B99" w:rsidP="00A24B99">
      <w:r w:rsidRPr="00A24B99">
        <w:t>Ulteriore elemento qualificante è la disciplina temporale. La misura riguarda investimenti effettuati dal 1° gennaio 2026 al 30 settembre 2028, con una previsione che, secondo le prime letture operative, non ripropone in modo pieno la logica della “prenotazione” tipica di altre agevolazioni, ma richiede che l’investimento sia effettivamente realizzato entro il termine, secondo i criteri generali di competenza fiscale dell’articolo 109 del TUIR. Questo aspetto, nella pratica, incide sulle scelte contrattuali, sulla gestione della fornitura e sui tempi di consegna e collaudo, specialmente per impianti complessi, in cui le dinamiche esecutive possono determinare slittamenti temporali non irrilevanti.</w:t>
      </w:r>
    </w:p>
    <w:p w:rsidR="00A24B99" w:rsidRPr="00A24B99" w:rsidRDefault="00A24B99" w:rsidP="00A24B99">
      <w:r w:rsidRPr="00A24B99">
        <w:t>Quanto all’impatto economico-fiscale, è fondamentale chiarire che l’</w:t>
      </w:r>
      <w:proofErr w:type="spellStart"/>
      <w:r w:rsidRPr="00A24B99">
        <w:t>iperammortamento</w:t>
      </w:r>
      <w:proofErr w:type="spellEnd"/>
      <w:r w:rsidRPr="00A24B99">
        <w:t xml:space="preserve"> produce un risparmio d’imposta “mediato” dalla struttura impositiva del soggetto beneficiario. Il beneficio non coincide con la percentuale di maggiorazione, bensì con la percentuale di maggiorazione moltiplicata per l’aliquota effettiva applicabile al reddito. Ne deriva che, a parità di investimento, l’impatto del beneficio può risultare sensibilmente diverso tra soggetti IRES e soggetti IRPEF, e può variare anche all’interno della stessa categoria in funzione dell’aliquota marginale o del profilo di imponibilità prospettico. È uno dei motivi per cui la misura richiede un’analisi meno “meccanica” rispetto ai crediti d’imposta: la sua efficacia dipende dalla capacità dell’impresa di generare base imponibile nel tempo.</w:t>
      </w:r>
    </w:p>
    <w:p w:rsidR="00A24B99" w:rsidRPr="00A24B99" w:rsidRDefault="00A24B99" w:rsidP="00A24B99">
      <w:r w:rsidRPr="00A24B99">
        <w:t>In questa prospettiva, l’</w:t>
      </w:r>
      <w:proofErr w:type="spellStart"/>
      <w:r w:rsidRPr="00A24B99">
        <w:t>iperammortamento</w:t>
      </w:r>
      <w:proofErr w:type="spellEnd"/>
      <w:r w:rsidRPr="00A24B99">
        <w:t xml:space="preserve"> tende a premiare le imprese con redditività stabile o comunque recuperabile nel periodo di ammortamento. Se l’impresa opera in perdita o con imponibili non capienti, l’extra-deduzione non si “trasforma” immediatamente in risparmio, ma si colloca in un orizzonte temporale più lungo, con la conseguenza che la convenienza reale può ridursi, specie se la perdita fiscale produce rinvii o complessità di utilizzo. È un tema che il professionista deve porre con chiarezza al cliente, perché l’incentivo, per sua natura, non è una leva di liquidità nel breve periodo, ma una leva di riduzione del carico fiscale nel medio termine.</w:t>
      </w:r>
    </w:p>
    <w:p w:rsidR="00A24B99" w:rsidRPr="00A24B99" w:rsidRDefault="00A24B99" w:rsidP="00A24B99">
      <w:r w:rsidRPr="00A24B99">
        <w:t>A ciò si aggiunge l’incidenza sulla pianificazione finanziaria. Il credito d’imposta aveva abituato molte imprese a considerare l’incentivo come un “quasi flusso” in compensazione, quindi con effetti percepibili sul fabbisogno. L’</w:t>
      </w:r>
      <w:proofErr w:type="spellStart"/>
      <w:r w:rsidRPr="00A24B99">
        <w:t>iperammortamento</w:t>
      </w:r>
      <w:proofErr w:type="spellEnd"/>
      <w:r w:rsidRPr="00A24B99">
        <w:t>, invece, incide sull’imposta dovuta e quindi sui versamenti, ma in modo distribuito e dipendente dall’andamento reddituale. La pianificazione corretta richiede, pertanto, di integrare l’incentivo nei budget fiscali e nei modelli previsionali, evitando di sovrastimare l’effetto nel primo anno o di considerarlo equivalente, sul piano finanziario, a un credito compensabile.</w:t>
      </w:r>
    </w:p>
    <w:p w:rsidR="00A24B99" w:rsidRPr="00A24B99" w:rsidRDefault="00A24B99" w:rsidP="00A24B99">
      <w:r w:rsidRPr="00A24B99">
        <w:lastRenderedPageBreak/>
        <w:t>Un ulteriore punto operativo riguarda il leasing. La struttura dell’incentivo, essendo legata al costo fiscalmente riconosciuto, trova applicazione anche ai canoni deducibili, secondo le regole ordinarie, ma amplificati dalla maggiorazione. Questa circostanza rende il leasing una modalità di acquisizione pienamente compatibile con l’agevolazione, ma richiede attenzione nella determinazione della base agevolabile e nella corretta imputazione temporale del beneficio, che continua a seguire la logica fiscale del contratto. Le prime ricostruzioni operative richiamano espressamente l’applicazione dell’</w:t>
      </w:r>
      <w:proofErr w:type="spellStart"/>
      <w:r w:rsidRPr="00A24B99">
        <w:t>iperammortamento</w:t>
      </w:r>
      <w:proofErr w:type="spellEnd"/>
      <w:r w:rsidRPr="00A24B99">
        <w:t xml:space="preserve"> tanto agli ammortamenti quanto ai canoni, confermando la continuità dell’impianto rispetto alle esperienze storiche dell’iper 4.0. </w:t>
      </w:r>
    </w:p>
    <w:p w:rsidR="00A24B99" w:rsidRPr="00A24B99" w:rsidRDefault="00A24B99" w:rsidP="00A24B99">
      <w:r w:rsidRPr="00A24B99">
        <w:t>Infine, va richiamato l’aspetto forse più “culturale” della misura: la scelta di tornare a un incentivo che opera sul reddito imponibile, anziché su un credito, costringe le imprese a guardare l’investimento non solo come spesa agevolabile, ma come componente di una traiettoria economica. Il beneficio diventa pienamente leggibile solo se inserito in un quadro di redditività prospettica e di capacità di assorbimento fiscale. In altre parole, l’</w:t>
      </w:r>
      <w:proofErr w:type="spellStart"/>
      <w:r w:rsidRPr="00A24B99">
        <w:t>iperammortamento</w:t>
      </w:r>
      <w:proofErr w:type="spellEnd"/>
      <w:r w:rsidRPr="00A24B99">
        <w:t xml:space="preserve"> è un incentivo che dialoga con la pianificazione: non può essere valutato correttamente senza un minimo di visione sul ciclo di vita del bene e sul ciclo economico dell’impresa.</w:t>
      </w:r>
    </w:p>
    <w:p w:rsidR="00A24B99" w:rsidRPr="00A24B99" w:rsidRDefault="00A24B99" w:rsidP="00A24B99">
      <w:r w:rsidRPr="00A24B99">
        <w:t>È proprio qui che si misura la differenza tra fruizione formale e fruizione consapevole. Sul piano formale, la misura si esprime come variazione in dichiarazione; sul piano sostanziale, essa diventa una leva che premia chi investe con continuità e chi dispone di strumenti di programmazione sufficienti a governarne gli effetti. Il passaggio successivo, inevitabile, riguarda quindi le condizioni di accesso, gli adempimenti e i presidi documentali: perché la maggiorazione fiscale, per trasformarsi in beneficio effettivo, deve essere non solo calcolabile, ma difendibile.</w:t>
      </w:r>
    </w:p>
    <w:p w:rsidR="00B47B83" w:rsidRPr="00B47B83" w:rsidRDefault="00B47B83" w:rsidP="00B47B83">
      <w:pPr>
        <w:rPr>
          <w:b/>
          <w:bCs/>
        </w:rPr>
      </w:pPr>
      <w:r w:rsidRPr="00B47B83">
        <w:rPr>
          <w:b/>
          <w:bCs/>
        </w:rPr>
        <w:t>4. Condizioni di accesso, adempimenti e controlli: una misura meno automatica e più selettiva</w:t>
      </w:r>
    </w:p>
    <w:p w:rsidR="00B47B83" w:rsidRPr="00B47B83" w:rsidRDefault="00B47B83" w:rsidP="00B47B83">
      <w:r w:rsidRPr="00B47B83">
        <w:t>Se il meccanismo dell’</w:t>
      </w:r>
      <w:proofErr w:type="spellStart"/>
      <w:r w:rsidRPr="00B47B83">
        <w:t>iperammortamento</w:t>
      </w:r>
      <w:proofErr w:type="spellEnd"/>
      <w:r w:rsidRPr="00B47B83">
        <w:t xml:space="preserve"> è, nella sua essenza, lineare — maggiorazione del costo fiscalmente riconosciuto e conseguente incremento delle quote deducibili — lo stesso non può dirsi per il percorso di accesso e per i presìdi di compliance che la Legge di Bilancio 2026 ha inteso rafforzare. La misura, infatti, nasce in un contesto nel quale il legislatore sembra perseguire un obiettivo duplice: da un lato rilanciare l’investimento qualificato, dall’altro ridurre le aree di incertezza e di abuso che hanno accompagnato, in alcuni cicli precedenti, gli incentivi “automatici”. L’</w:t>
      </w:r>
      <w:proofErr w:type="spellStart"/>
      <w:r w:rsidRPr="00B47B83">
        <w:t>iperammortamento</w:t>
      </w:r>
      <w:proofErr w:type="spellEnd"/>
      <w:r w:rsidRPr="00B47B83">
        <w:t xml:space="preserve"> 2026 si configura quindi come agevolazione fruibile, ma a condizione che sia non solo calcolabile, bensì dimostrabile.</w:t>
      </w:r>
    </w:p>
    <w:p w:rsidR="00B47B83" w:rsidRPr="00B47B83" w:rsidRDefault="00B47B83" w:rsidP="00B47B83">
      <w:r w:rsidRPr="00B47B83">
        <w:t>Il primo livello di selettività riguarda le condizioni “di sistema” dell’impresa beneficiaria. Il testo della Legge 30 dicembre 2025, n. 199 (Legge di Bilancio 2026) colloca l’</w:t>
      </w:r>
      <w:proofErr w:type="spellStart"/>
      <w:r w:rsidRPr="00B47B83">
        <w:t>iperammortamento</w:t>
      </w:r>
      <w:proofErr w:type="spellEnd"/>
      <w:r w:rsidRPr="00B47B83">
        <w:t xml:space="preserve"> nel quadro delle misure a sostegno degli investimenti e ne definisce il perimetro applicativo, con una logica che presuppone la piena operatività del soggetto e la coerenza dell’investimento con l’attività d’impresa. In questa prospettiva, assume rilievo l’impostazione, richiamata anche in sintesi istituzionali, per cui l’incentivo è parte delle politiche industriali e non un mero “sconto fiscale” indifferenziato. </w:t>
      </w:r>
    </w:p>
    <w:p w:rsidR="00B47B83" w:rsidRPr="00B47B83" w:rsidRDefault="00B47B83" w:rsidP="00B47B83">
      <w:r w:rsidRPr="00B47B83">
        <w:t>Accanto a tale cornice, emerge un secondo livello, più operativo, che riguarda gli adempimenti formali e i controlli. L’esperienza dei crediti d’imposta per investimenti ha già mostrato una tendenza crescente verso procedure di comunicazione preventiva e successiva, anche in logica di prenotazione/monitoraggio delle risorse. La stessa amministrazione (MIMIT) descrive, per gli incentivi della medesima famiglia, un iter fondato su comunicazioni preventive e conferme dell’investimento, a presidio dell’utilizzo delle risorse e della tracciabilità del beneficio. Questo elemento, pur riferito a misure a credito, è rilevante perché segnala la direzione regolatoria: l’incentivo, per essere difendibile, viene sempre più legato a un “percorso” documentale e informativo.</w:t>
      </w:r>
    </w:p>
    <w:p w:rsidR="00B47B83" w:rsidRPr="00B47B83" w:rsidRDefault="00B47B83" w:rsidP="00B47B83">
      <w:r w:rsidRPr="00B47B83">
        <w:lastRenderedPageBreak/>
        <w:t>Nel caso dell’</w:t>
      </w:r>
      <w:proofErr w:type="spellStart"/>
      <w:r w:rsidRPr="00B47B83">
        <w:t>iperammortamento</w:t>
      </w:r>
      <w:proofErr w:type="spellEnd"/>
      <w:r w:rsidRPr="00B47B83">
        <w:t xml:space="preserve"> 2026, la fruizione poggia su un presupposto tecnico che, nella pratica, rappresenta il primo vero snodo di rischio: la corretta qualificazione del bene e la dimostrazione del possesso dei requisiti richiesti, inclusi quelli legati all’interconnessione (ove prevista dalla tipologia di bene) e alla riconducibilità agli elenchi normativi. Le ricostruzioni operative sottolineano espressamente che l’</w:t>
      </w:r>
      <w:proofErr w:type="spellStart"/>
      <w:r w:rsidRPr="00B47B83">
        <w:t>iperammortamento</w:t>
      </w:r>
      <w:proofErr w:type="spellEnd"/>
      <w:r w:rsidRPr="00B47B83">
        <w:t xml:space="preserve"> si sostanzia nella maggiorazione del costo dei beni nuovi, utile a determinare quote di ammortamento più elevate o canoni di leasing più elevati, ma presuppone investimenti coerenti con il paradigma “Industria 4.0”. </w:t>
      </w:r>
    </w:p>
    <w:p w:rsidR="00B47B83" w:rsidRPr="00B47B83" w:rsidRDefault="00B47B83" w:rsidP="00B47B83">
      <w:r w:rsidRPr="00B47B83">
        <w:t xml:space="preserve">Proprio perché il beneficio si manifesta lungo il periodo di ammortamento, la documentazione che attesta i requisiti non può essere trattata come un adempimento accessorio: essa diventa parte integrante della sostenibilità dell’agevolazione nel tempo. È in questa logica che torna centrale la tradizionale distinzione, già nota nella prassi 4.0, tra prova “qualificata” (perizia tecnica asseverata) e prova “semplificata” (dichiarazione sostitutiva del legale rappresentante </w:t>
      </w:r>
      <w:proofErr w:type="gramStart"/>
      <w:r w:rsidRPr="00B47B83">
        <w:t>sotto soglia</w:t>
      </w:r>
      <w:proofErr w:type="gramEnd"/>
      <w:r w:rsidRPr="00B47B83">
        <w:t>), con soglie che la prassi divulgativa e associativa continua a richiamare quale criterio di riparto degli oneri probatori. Anche a prescindere dalla soglia puntuale, il punto di metodo resta invariato: tanto più elevato è il valore e la complessità dell’investimento, tanto più l’impresa deve strutturare una catena probatoria robusta, coerente e verificabile.</w:t>
      </w:r>
    </w:p>
    <w:p w:rsidR="00B47B83" w:rsidRPr="00B47B83" w:rsidRDefault="00B47B83" w:rsidP="00B47B83">
      <w:r w:rsidRPr="00B47B83">
        <w:t>Il presidio documentale non riguarda soltanto la perizia. In un incentivo che si fonda sulla “novità” del bene, sulla sua provenienza e sulla sua destinazione a strutture produttive in Italia, la tenuta della documentazione contrattuale e contabile diventa decisiva. Contratti, ordini, documenti di trasporto, fatture, verbali di consegna e collaudo, evidenze di messa in funzione e, quando richiesto, evidenze di interconnessione e integrazione ai sistemi informatici aziendali, assumono la funzione di “filiera” dimostrativa dell’investimento. In questo senso, l’</w:t>
      </w:r>
      <w:proofErr w:type="spellStart"/>
      <w:r w:rsidRPr="00B47B83">
        <w:t>iperammortamento</w:t>
      </w:r>
      <w:proofErr w:type="spellEnd"/>
      <w:r w:rsidRPr="00B47B83">
        <w:t xml:space="preserve"> non è mai un beneficio “istantaneo”: è un beneficio che va costruito e mantenuto.</w:t>
      </w:r>
    </w:p>
    <w:p w:rsidR="00B47B83" w:rsidRPr="00B47B83" w:rsidRDefault="00B47B83" w:rsidP="00B47B83">
      <w:r w:rsidRPr="00B47B83">
        <w:t>Un ulteriore profilo, spesso trascurato in fase di valutazione iniziale, riguarda la natura extracontabile dell’agevolazione e le conseguenze in termini di controlli e rettifiche. Poiché la maggiorazione opera mediante variazione in diminuzione in dichiarazione, la tracciabilità del calcolo e la coerenza tra cespiti, piani di ammortamento fiscali e variazioni dichiarative devono essere tali da consentire una ricostruzione lineare a posteriori, anche a distanza di anni. La diluizione temporale del beneficio rende infatti più probabile che il controllo intervenga in un momento diverso rispetto a quello dell’investimento, quando persone, sistemi e fornitori possono essere mutati.</w:t>
      </w:r>
    </w:p>
    <w:p w:rsidR="00B47B83" w:rsidRPr="00B47B83" w:rsidRDefault="00B47B83" w:rsidP="00B47B83">
      <w:r w:rsidRPr="00B47B83">
        <w:t>È qui che la misura rivela una caratteristica “selettiva” non sempre colta dalle imprese: l’</w:t>
      </w:r>
      <w:proofErr w:type="spellStart"/>
      <w:r w:rsidRPr="00B47B83">
        <w:t>iperammortamento</w:t>
      </w:r>
      <w:proofErr w:type="spellEnd"/>
      <w:r w:rsidRPr="00B47B83">
        <w:t xml:space="preserve"> tende a premiare chi possiede un livello minimo di presidio amministrativo e di governance documentale. Non a caso, molte guide operative sottolineano che l’agevolazione è pensata come incentivo strutturato, con vincoli e adempimenti che richiedono metodo e tracciabilità. Il che, in concreto, implica un dialogo più stretto tra area tecnica (che conosce le specifiche del bene), area IT (che governa interconnessione e integrazione) e area amministrativa (che governa contabilizzazione e archiviazione). Il professionista si colloca spesso come coordinatore di questa triangolazione, perché è colui che, in ultima analisi, deve rendere l’agevolazione fiscalmente sostenibile.</w:t>
      </w:r>
    </w:p>
    <w:p w:rsidR="00B47B83" w:rsidRPr="00B47B83" w:rsidRDefault="00B47B83" w:rsidP="00B47B83">
      <w:r w:rsidRPr="00B47B83">
        <w:t xml:space="preserve">Accanto alla compliance “tecnica”, va poi ricordato che gli incentivi di politica industriale, specie quando rivestono rilevanza sistemica, tendono a incorporare requisiti di regolarità generale (si pensi al rispetto degli obblighi contributivi e delle normative sulla sicurezza). Anche laddove tali requisiti siano formulati in modo sintetico, il loro impatto applicativo è tutt’altro che marginale: l’impresa deve essere in grado di dimostrare la propria regolarità nel momento in cui fruisce del beneficio e di mantenerla secondo la logica ordinaria dei controlli. In termini di presidio professionale, ciò significa che la verifica preliminare non può limitarsi a “il bene rientra o non rientra”, ma deve includere un controllo </w:t>
      </w:r>
      <w:r w:rsidRPr="00B47B83">
        <w:lastRenderedPageBreak/>
        <w:t>dello stato soggettivo dell’impresa e della sua capacità di sostenere l’agevolazione senza esporsi a recuperi.</w:t>
      </w:r>
    </w:p>
    <w:p w:rsidR="00B47B83" w:rsidRPr="00B47B83" w:rsidRDefault="00B47B83" w:rsidP="00B47B83">
      <w:r w:rsidRPr="00B47B83">
        <w:t>Infine, merita un cenno la questione attuativa. Come spesso accade per misure ad alto contenuto tecnico, la disciplina primaria rinvia a decreti e istruzioni operative per modalità, piattaforme, tracciati informativi e procedure. La prassi e l’informazione tecnica segnalano l’attesa di disposizioni attuative e di un perimetro procedurale dettagliato, a conferma che il legislatore intende accompagnare l’agevolazione con strumenti di monitoraggio e controllo più strutturati rispetto al passato. In termini concreti, ciò significa che il timing dell’investimento e l’impostazione della documentazione dovranno essere gestiti tenendo conto anche dell’evoluzione delle regole attuative, evitando di ridurre l’agevolazione a un mero calcolo teorico.</w:t>
      </w:r>
    </w:p>
    <w:p w:rsidR="00B47B83" w:rsidRPr="00B47B83" w:rsidRDefault="00B47B83" w:rsidP="00B47B83">
      <w:r w:rsidRPr="00B47B83">
        <w:t>In conclusione, l’</w:t>
      </w:r>
      <w:proofErr w:type="spellStart"/>
      <w:r w:rsidRPr="00B47B83">
        <w:t>iperammortamento</w:t>
      </w:r>
      <w:proofErr w:type="spellEnd"/>
      <w:r w:rsidRPr="00B47B83">
        <w:t xml:space="preserve"> 2026 conferma una tendenza ormai chiara: gli incentivi fiscali non si misurano più soltanto in aliquote, ma in capacità di compliance. La convenienza dell’agevolazione non è separabile dalla sua difendibilità. Ed è proprio in questa “difendibilità” che la misura diventa selettiva: non perché escluda formalmente, ma perché richiede, per funzionare davvero, una cultura amministrativa e documentale che non tutte le imprese possiedono in modo spontaneo. In tale scenario, il ruolo del professionista non è accessorio: è la condizione pratica affinché la norma, dal piano astratto, diventi beneficio effettivo e sostenibile.</w:t>
      </w:r>
    </w:p>
    <w:p w:rsidR="00EE7D98" w:rsidRPr="00EE7D98" w:rsidRDefault="00EE7D98" w:rsidP="00EE7D98">
      <w:pPr>
        <w:rPr>
          <w:b/>
          <w:bCs/>
        </w:rPr>
      </w:pPr>
      <w:r w:rsidRPr="00EE7D98">
        <w:rPr>
          <w:b/>
          <w:bCs/>
        </w:rPr>
        <w:t>5. Pianificazione fiscale e strategie di investimento: come integrare l’</w:t>
      </w:r>
      <w:proofErr w:type="spellStart"/>
      <w:r w:rsidRPr="00EE7D98">
        <w:rPr>
          <w:b/>
          <w:bCs/>
        </w:rPr>
        <w:t>iperammortamento</w:t>
      </w:r>
      <w:proofErr w:type="spellEnd"/>
      <w:r w:rsidRPr="00EE7D98">
        <w:rPr>
          <w:b/>
          <w:bCs/>
        </w:rPr>
        <w:t xml:space="preserve"> nella programmazione aziendale</w:t>
      </w:r>
    </w:p>
    <w:p w:rsidR="00EE7D98" w:rsidRPr="00EE7D98" w:rsidRDefault="00EE7D98" w:rsidP="00EE7D98">
      <w:r w:rsidRPr="00EE7D98">
        <w:t>L’</w:t>
      </w:r>
      <w:proofErr w:type="spellStart"/>
      <w:r w:rsidRPr="00EE7D98">
        <w:t>iperammortamento</w:t>
      </w:r>
      <w:proofErr w:type="spellEnd"/>
      <w:r w:rsidRPr="00EE7D98">
        <w:t xml:space="preserve"> ex Legge di Bilancio 2026, proprio perché opera come maxi-deduzione e non come credito d’imposta, non può essere gestito con una logica meramente “</w:t>
      </w:r>
      <w:proofErr w:type="spellStart"/>
      <w:r w:rsidRPr="00EE7D98">
        <w:t>adempitiva</w:t>
      </w:r>
      <w:proofErr w:type="spellEnd"/>
      <w:r w:rsidRPr="00EE7D98">
        <w:t xml:space="preserve">”. La sua efficacia reale dipende dalla capacità dell’impresa di inserirlo in una programmazione coerente, nella quale investimento, redditività prospettica e profilo finanziario dialoghino tra loro. È un incentivo che premia la scelta industriale, ma che impone una lettura fiscale più matura: non basta che l’investimento sia agevolabile; occorre che l’impresa sia in condizione di assorbire nel tempo l’extra-deduzione e di trasformarla in risparmio d’imposta effettivo. </w:t>
      </w:r>
    </w:p>
    <w:p w:rsidR="00EE7D98" w:rsidRPr="00EE7D98" w:rsidRDefault="00EE7D98" w:rsidP="00EE7D98">
      <w:r w:rsidRPr="00EE7D98">
        <w:t xml:space="preserve">Il primo snodo di pianificazione riguarda la temporalità. La disciplina individua una finestra applicativa ampia ma non indefinita, dal 1° gennaio 2026 al 30 settembre 2028, e ciò orienta immediatamente la gestione del “quando” oltre che del “cosa”. In un contesto in cui molte commesse 4.0 richiedono tempi di produzione, installazione e collaudo non banali, la pianificazione dovrebbe partire non dall’ordine, ma dalla data fiscalmente rilevante di effettuazione dell’investimento, con un’attenzione particolare alle dinamiche contrattuali e ai passaggi di consegna/messa in funzione, perché è su questi profili che si gioca la collocazione temporale dell’agevolazione. </w:t>
      </w:r>
    </w:p>
    <w:p w:rsidR="00EE7D98" w:rsidRPr="00EE7D98" w:rsidRDefault="00EE7D98" w:rsidP="00EE7D98">
      <w:r w:rsidRPr="00EE7D98">
        <w:t>La seconda leva è la struttura a scaglioni della maggiorazione, che introduce una logica di convenienza marginale decrescente. La previsione di maggiorazioni differenziate fino a 2,5 milioni, poi fino a 10 milioni e infine fino a 20 milioni rende il beneficio sensibile alla dimensione del programma di investimento e impone, nei casi di piani pluriennali o multi-impianto, di ragionare anche in termini di segmentazione e calendarizzazione. Non si tratta di “spacchettare” artificiosamente l’investimento, ma di governare un dato normativo: l’impresa che concentra in un unico esercizio un importo rilevante potrebbe collocarsi più rapidamente negli scaglioni meno intensi; viceversa, un programma distribuito nel tempo potrebbe consentire una migliore ottimizzazione del beneficio, laddove economicamente e industrialmente sensato.</w:t>
      </w:r>
    </w:p>
    <w:p w:rsidR="00EE7D98" w:rsidRPr="00EE7D98" w:rsidRDefault="00EE7D98" w:rsidP="00EE7D98">
      <w:r w:rsidRPr="00EE7D98">
        <w:t>Il terzo profilo, spesso sottovalutato, è la capienza fiscale. L’</w:t>
      </w:r>
      <w:proofErr w:type="spellStart"/>
      <w:r w:rsidRPr="00EE7D98">
        <w:t>iperammortamento</w:t>
      </w:r>
      <w:proofErr w:type="spellEnd"/>
      <w:r w:rsidRPr="00EE7D98">
        <w:t xml:space="preserve"> incide sul reddito imponibile e produce risparmio d’imposta solo in presenza di imponibile assorbente. Qui sta la differenza culturale rispetto alla stagione dei crediti d’imposta: l’impresa deve porsi la domanda sulla </w:t>
      </w:r>
      <w:r w:rsidRPr="00EE7D98">
        <w:lastRenderedPageBreak/>
        <w:t>propria traiettoria reddituale, perché la maxi-deduzione vive nel tempo dell’ammortamento e non nella logica del “vantaggio immediato”. In termini operativi, ciò suggerisce che la valutazione dell’incentivo andrebbe incorporata nel budget fiscale pluriennale, simulando l’impatto sull’IRES o sull’IRPEF attesa e verificando, anno per anno, se l’extra-deduzione si traduce in minori imposte o se, invece, rischia di “scivolare” in un orizzonte troppo dilatato rispetto alle esigenze aziendali.</w:t>
      </w:r>
    </w:p>
    <w:p w:rsidR="00EE7D98" w:rsidRPr="00EE7D98" w:rsidRDefault="00EE7D98" w:rsidP="00EE7D98">
      <w:r w:rsidRPr="00EE7D98">
        <w:t>Questa impostazione richiama un tema tipicamente da studio professionale: l’</w:t>
      </w:r>
      <w:proofErr w:type="spellStart"/>
      <w:r w:rsidRPr="00EE7D98">
        <w:t>iperammortamento</w:t>
      </w:r>
      <w:proofErr w:type="spellEnd"/>
      <w:r w:rsidRPr="00EE7D98">
        <w:t xml:space="preserve"> non è un beneficio “nominale”, ma un beneficio “effettivo”. Il beneficio nominale è la maggiorazione, quello effettivo è la maggiore deduzione moltiplicata per l’aliquota fiscale rilevante e, soprattutto, ponderata con un fattore temporale. In termini di buona consulenza, diventa opportuno ragionare in logica di valore attuale, perché un risparmio d’imposta distribuito in più esercizi non ha lo stesso valore finanziario di un vantaggio realizzato subito. Questo è particolarmente vero in scenari di tassi elevati o di fabbisogno di liquidità, nei quali la dimensione temporale della deduzione diventa parte integrante della decisione di investimento.</w:t>
      </w:r>
    </w:p>
    <w:p w:rsidR="00EE7D98" w:rsidRPr="00EE7D98" w:rsidRDefault="00EE7D98" w:rsidP="00EE7D98">
      <w:r w:rsidRPr="00EE7D98">
        <w:t>La quarta variabile è la modalità di acquisizione. La misura opera tanto sugli ammortamenti quanto sui canoni di leasing, con un effetto che segue le regole fiscali proprie del contratto. Ne discende che la scelta tra acquisto diretto e leasing, pur restando primariamente finanziaria e gestionale, assume anche una valenza di pianificazione: la distribuzione temporale del beneficio può cambiare e può dialogare in modo diverso con la capienza fiscale prospettica. Nei casi in cui l’impresa preveda una redditività crescente negli esercizi successivi, la struttura temporale della deduzione diventa un elemento da valutare insieme alle condizioni economiche del finanziamento e alle esigenze di flessibilità operativa.</w:t>
      </w:r>
    </w:p>
    <w:p w:rsidR="00EE7D98" w:rsidRPr="00EE7D98" w:rsidRDefault="00EE7D98" w:rsidP="00EE7D98">
      <w:r w:rsidRPr="00EE7D98">
        <w:t>Accanto alle scelte “quando” e “come”, vi è poi la dimensione “cosa”, intesa in senso strategico e non meramente classificatorio. La Legge di Bilancio 2026 colloca l’</w:t>
      </w:r>
      <w:proofErr w:type="spellStart"/>
      <w:r w:rsidRPr="00EE7D98">
        <w:t>iperammortamento</w:t>
      </w:r>
      <w:proofErr w:type="spellEnd"/>
      <w:r w:rsidRPr="00EE7D98">
        <w:t xml:space="preserve"> nell’alveo degli investimenti funzionali alla trasformazione tecnologica e digitale, con elenchi e requisiti tecnici che riprendono la logica 4.0, e con un impianto triennale dichiaratamente orientato alla programmazione. Nella pratica, ciò significa che l’investimento va progettato “a monte” considerando non solo il bene singolo, ma il processo produttivo e l’architettura informatica: perché il valore fiscale è subordinato alla tenuta tecnica e documentale della qualificazione, e questa tenuta dipende spesso da scelte di integrazione (interconnessione, interoperabilità, tracciabilità dati) che non si improvvisano a consuntivo.</w:t>
      </w:r>
    </w:p>
    <w:p w:rsidR="00EE7D98" w:rsidRPr="00EE7D98" w:rsidRDefault="00EE7D98" w:rsidP="00EE7D98">
      <w:r w:rsidRPr="00EE7D98">
        <w:t>È in questo punto che pianificazione fiscale e pianificazione industriale si sovrappongono. L’</w:t>
      </w:r>
      <w:proofErr w:type="spellStart"/>
      <w:r w:rsidRPr="00EE7D98">
        <w:t>iperammortamento</w:t>
      </w:r>
      <w:proofErr w:type="spellEnd"/>
      <w:r w:rsidRPr="00EE7D98">
        <w:t>, per come è concepito, tende a favorire investimenti che non sono meri “acquisti”, ma componenti di una trasformazione organizzata. La conseguenza, sul piano consulenziale, è che la valutazione dell’incentivo dovrebbe avvenire idealmente nella fase di progettazione del capex, non a posteriori, quando l’investimento è già concluso e la compliance diventa un esercizio di ricostruzione.</w:t>
      </w:r>
    </w:p>
    <w:p w:rsidR="00EE7D98" w:rsidRPr="00EE7D98" w:rsidRDefault="00EE7D98" w:rsidP="00EE7D98">
      <w:r w:rsidRPr="00EE7D98">
        <w:t>Un ulteriore profilo strategico riguarda la cumulabilità e, più in generale, l’integrazione tra strumenti. La reintroduzione dell’</w:t>
      </w:r>
      <w:proofErr w:type="spellStart"/>
      <w:r w:rsidRPr="00EE7D98">
        <w:t>iperammortamento</w:t>
      </w:r>
      <w:proofErr w:type="spellEnd"/>
      <w:r w:rsidRPr="00EE7D98">
        <w:t xml:space="preserve"> avviene dichiaratamente in sostituzione della stagione dei crediti d’imposta 4.0 e 5.0, con una logica di riordino degli incentivi che richiede attenzione nella costruzione del mix agevolativo e nella prevenzione di sovrapposizioni sul medesimo costo. In termini pratici, l’impresa deve evitare di trattare l’</w:t>
      </w:r>
      <w:proofErr w:type="spellStart"/>
      <w:r w:rsidRPr="00EE7D98">
        <w:t>iperammortamento</w:t>
      </w:r>
      <w:proofErr w:type="spellEnd"/>
      <w:r w:rsidRPr="00EE7D98">
        <w:t xml:space="preserve"> come una “voce a sé” slegata dalle altre misure attivabili: la corretta pianificazione, specie nei settori più investitori, passa dalla mappatura complessiva degli aiuti compatibili, dei vincoli di cumulo e delle condizioni di accesso, con un approccio che tenga insieme fiscalità, finanza agevolata e compliance.</w:t>
      </w:r>
    </w:p>
    <w:p w:rsidR="00EE7D98" w:rsidRPr="00EE7D98" w:rsidRDefault="00EE7D98" w:rsidP="00EE7D98">
      <w:r w:rsidRPr="00EE7D98">
        <w:t>Infine, la pianificazione deve confrontarsi con un punto che, per i professionisti, è sempre più centrale: la governabilità del rischio. Le misure di politica industriale contemporanee, e l’</w:t>
      </w:r>
      <w:proofErr w:type="spellStart"/>
      <w:r w:rsidRPr="00EE7D98">
        <w:t>iperammortamento</w:t>
      </w:r>
      <w:proofErr w:type="spellEnd"/>
      <w:r w:rsidRPr="00EE7D98">
        <w:t xml:space="preserve"> </w:t>
      </w:r>
      <w:r w:rsidRPr="00EE7D98">
        <w:lastRenderedPageBreak/>
        <w:t>2026 non fa eccezione, tendono a essere accompagnate da procedure e tracciati informativi che rafforzano i controlli, anche attraverso comunicazioni e piattaforme telematiche la cui disciplina è demandata a regole attuative. Sul piano aziendale, ciò significa che l’incentivo va inserito in un “processo” e non in un “calcolo”: presidio dei documenti, coerenza tra area tecnica e area amministrativa, tracciabilità delle scelte. È proprio qui che la pianificazione fiscale diventa, in senso pieno, pianificazione di compliance.</w:t>
      </w:r>
    </w:p>
    <w:p w:rsidR="00EE7D98" w:rsidRPr="00EE7D98" w:rsidRDefault="00EE7D98" w:rsidP="00EE7D98">
      <w:r w:rsidRPr="00EE7D98">
        <w:t>In conclusione, integrare l’</w:t>
      </w:r>
      <w:proofErr w:type="spellStart"/>
      <w:r w:rsidRPr="00EE7D98">
        <w:t>iperammortamento</w:t>
      </w:r>
      <w:proofErr w:type="spellEnd"/>
      <w:r w:rsidRPr="00EE7D98">
        <w:t xml:space="preserve"> nella programmazione aziendale significa accettare la sua natura: un incentivo </w:t>
      </w:r>
      <w:proofErr w:type="gramStart"/>
      <w:r w:rsidRPr="00EE7D98">
        <w:t>che opera sul reddito,</w:t>
      </w:r>
      <w:proofErr w:type="gramEnd"/>
      <w:r w:rsidRPr="00EE7D98">
        <w:t xml:space="preserve"> distribuisce i benefici nel tempo e premia investimenti qualificati e dimostrabili. Non è una misura “da fine anno”, ma una leva di medio periodo. Ed è proprio questa caratteristica a renderla, al contempo, più esigente e più coerente con la logica industriale: l’impresa che investe con metodo e che pianifica la propria redditività tende a coglierne il valore pieno; quella che si muove in modo opportunistico rischia di scoprire che l’incentivo, più che promettere, seleziona.</w:t>
      </w:r>
    </w:p>
    <w:p w:rsidR="00EE7D98" w:rsidRPr="00EE7D98" w:rsidRDefault="00EE7D98" w:rsidP="00EE7D98">
      <w:pPr>
        <w:rPr>
          <w:b/>
          <w:bCs/>
        </w:rPr>
      </w:pPr>
      <w:r w:rsidRPr="00EE7D98">
        <w:rPr>
          <w:b/>
          <w:bCs/>
        </w:rPr>
        <w:t>6. Profili critici e rischi applicativi: selettività dei beni, possibile compressione della platea e attenzione alle contestazioni</w:t>
      </w:r>
    </w:p>
    <w:p w:rsidR="00EE7D98" w:rsidRPr="00EE7D98" w:rsidRDefault="00EE7D98" w:rsidP="00EE7D98">
      <w:r w:rsidRPr="00EE7D98">
        <w:t>Ogni incentivo fiscale, soprattutto quando assume una dimensione sistemica come l’</w:t>
      </w:r>
      <w:proofErr w:type="spellStart"/>
      <w:r w:rsidRPr="00EE7D98">
        <w:t>iperammortamento</w:t>
      </w:r>
      <w:proofErr w:type="spellEnd"/>
      <w:r w:rsidRPr="00EE7D98">
        <w:t xml:space="preserve"> ex Legge di Bilancio 2026, porta con sé non soltanto opportunità ma anche aree di criticità che meritano una valutazione preventiva. La misura, per struttura, è concepita per sostenere investimenti qualificati; tuttavia, proprio questa qualificazione introduce elementi di selettività destinati a incidere sia sulla platea dei beneficiari sia sul grado di rischio applicativo.</w:t>
      </w:r>
    </w:p>
    <w:p w:rsidR="00EE7D98" w:rsidRPr="00EE7D98" w:rsidRDefault="00EE7D98" w:rsidP="00EE7D98">
      <w:r w:rsidRPr="00EE7D98">
        <w:t>Il primo profilo critico riguarda la delimitazione oggettiva dei beni agevolabili. Come già osservato, la disciplina rinvia a elenchi normativi che individuano le caratteristiche tecnologiche richieste, in continuità con l’impostazione del paradigma Industria 4.0. Questa scelta garantisce certezza formale, ma al tempo stesso riduce gli spazi interpretativi. L’investimento non è agevolabile perché “innovativo” in senso lato; lo è soltanto se rientra nei perimetri tecnici stabiliti dal legislatore. (</w:t>
      </w:r>
      <w:hyperlink r:id="rId4" w:tgtFrame="_new" w:history="1">
        <w:r w:rsidRPr="00EE7D98">
          <w:rPr>
            <w:rStyle w:val="Collegamentoipertestuale"/>
          </w:rPr>
          <w:t>mef.gov.it</w:t>
        </w:r>
      </w:hyperlink>
      <w:r w:rsidRPr="00EE7D98">
        <w:t>)</w:t>
      </w:r>
    </w:p>
    <w:p w:rsidR="00EE7D98" w:rsidRPr="00EE7D98" w:rsidRDefault="00EE7D98" w:rsidP="00EE7D98">
      <w:r w:rsidRPr="00EE7D98">
        <w:t>In termini pratici, ciò implica che la qualificazione del bene diventa un passaggio decisivo e, in molti casi, non immediato. Le tecnologie evolvono più rapidamente delle norme che le classificano, e non è infrequente che un bene presenti caratteristiche ibride, difficilmente riconducibili a una singola categoria. È proprio in queste zone “grigie” che si annida uno dei principali rischi di contestazione: una qualificazione eccessivamente estensiva può esporre l’impresa al recupero dell’agevolazione, con conseguenze che, considerata la natura pluriennale della deduzione, possono risultare particolarmente onerose.</w:t>
      </w:r>
    </w:p>
    <w:p w:rsidR="00EE7D98" w:rsidRPr="00EE7D98" w:rsidRDefault="00EE7D98" w:rsidP="00EE7D98">
      <w:r w:rsidRPr="00EE7D98">
        <w:t>Un secondo elemento di selettività riguarda la provenienza dei beni. La previsione secondo cui i beni devono essere prodotti all’interno dell’Unione europea o dello Spazio economico europeo segnala chiaramente una finalità di politica industriale, orientata al rafforzamento delle filiere interne. (</w:t>
      </w:r>
      <w:hyperlink r:id="rId5" w:tgtFrame="_new" w:history="1">
        <w:r w:rsidRPr="00EE7D98">
          <w:rPr>
            <w:rStyle w:val="Collegamentoipertestuale"/>
          </w:rPr>
          <w:t>fiscoetasse.com</w:t>
        </w:r>
      </w:hyperlink>
      <w:r w:rsidRPr="00EE7D98">
        <w:t>) Tuttavia, sul piano operativo, tale requisito può restringere le opzioni di approvvigionamento per alcune imprese, soprattutto in settori nei quali l’offerta tecnologica è fortemente globalizzata. La scelta del fornitore, tradizionalmente guidata da criteri di prezzo e performance, si intreccia ora con una valutazione fiscale che può incidere sull’equilibrio economico dell’investimento.</w:t>
      </w:r>
    </w:p>
    <w:p w:rsidR="00EE7D98" w:rsidRPr="00EE7D98" w:rsidRDefault="00EE7D98" w:rsidP="00EE7D98">
      <w:r w:rsidRPr="00EE7D98">
        <w:t>Un ulteriore profilo riguarda la relazione tra incentivo e redditività. L’</w:t>
      </w:r>
      <w:proofErr w:type="spellStart"/>
      <w:r w:rsidRPr="00EE7D98">
        <w:t>iperammortamento</w:t>
      </w:r>
      <w:proofErr w:type="spellEnd"/>
      <w:r w:rsidRPr="00EE7D98">
        <w:t>, incidendo sulla base imponibile, esprime il proprio valore pieno soltanto in presenza di imponibile capiente. Questo elemento, già richiamato nelle analisi istituzionali, introduce una selezione “economica” oltre che tecnica: le imprese con prospettive reddituali deboli potrebbero non riuscire a valorizzare integralmente la maggiorazione, almeno nel breve periodo. (</w:t>
      </w:r>
      <w:hyperlink r:id="rId6" w:tgtFrame="_new" w:history="1">
        <w:r w:rsidRPr="00EE7D98">
          <w:rPr>
            <w:rStyle w:val="Collegamentoipertestuale"/>
          </w:rPr>
          <w:t>fiscoetasse.com</w:t>
        </w:r>
      </w:hyperlink>
      <w:r w:rsidRPr="00EE7D98">
        <w:t>)</w:t>
      </w:r>
    </w:p>
    <w:p w:rsidR="00EE7D98" w:rsidRPr="00EE7D98" w:rsidRDefault="00EE7D98" w:rsidP="00EE7D98">
      <w:r w:rsidRPr="00EE7D98">
        <w:lastRenderedPageBreak/>
        <w:t>Da ciò deriva un paradosso solo apparente. L’incentivo nasce per stimolare gli investimenti, ma tende a risultare più efficace proprio per le imprese già caratterizzate da una certa solidità economica. Non si tratta di una distorsione, bensì di una conseguenza intrinseca degli strumenti che operano sul reddito: la deduzione presuppone, per definizione, la capacità di generare reddito.</w:t>
      </w:r>
    </w:p>
    <w:p w:rsidR="00EE7D98" w:rsidRPr="00EE7D98" w:rsidRDefault="00EE7D98" w:rsidP="00EE7D98">
      <w:r w:rsidRPr="00EE7D98">
        <w:t>Un quarto ambito di attenzione concerne la dimensione documentale e probatoria. La prassi operativa continua a richiamare l’importanza della perizia tecnica o dell’attestazione, nonché della dimostrazione dell’interconnessione per i beni che la richiedono. (</w:t>
      </w:r>
      <w:hyperlink r:id="rId7" w:tgtFrame="_new" w:history="1">
        <w:r w:rsidRPr="00EE7D98">
          <w:rPr>
            <w:rStyle w:val="Collegamentoipertestuale"/>
          </w:rPr>
          <w:t>confimibergamo.it</w:t>
        </w:r>
      </w:hyperlink>
      <w:r w:rsidRPr="00EE7D98">
        <w:t>) Non si tratta di formalità prive di sostanza: la tenuta della documentazione rappresenta la principale linea di difesa in caso di controllo.</w:t>
      </w:r>
    </w:p>
    <w:p w:rsidR="00EE7D98" w:rsidRPr="00EE7D98" w:rsidRDefault="00EE7D98" w:rsidP="00EE7D98">
      <w:r w:rsidRPr="00EE7D98">
        <w:t>È opportuno ricordare che il beneficio dell’</w:t>
      </w:r>
      <w:proofErr w:type="spellStart"/>
      <w:r w:rsidRPr="00EE7D98">
        <w:t>iperammortamento</w:t>
      </w:r>
      <w:proofErr w:type="spellEnd"/>
      <w:r w:rsidRPr="00EE7D98">
        <w:t xml:space="preserve"> si distribuisce lungo più esercizi. Ciò significa che una contestazione può intervenire anche a distanza di tempo dall’investimento, quando la memoria organizzativa dell’impresa può essersi attenuata e i referenti tecnici possono non essere più disponibili. In questa prospettiva, la gestione dell’archivio documentale non è un tema amministrativo, ma una componente della strategia fiscale.</w:t>
      </w:r>
    </w:p>
    <w:p w:rsidR="00EE7D98" w:rsidRPr="00EE7D98" w:rsidRDefault="00EE7D98" w:rsidP="00EE7D98">
      <w:r w:rsidRPr="00EE7D98">
        <w:t>Un quinto profilo critico riguarda la possibile complessità applicativa. La natura extracontabile della maggiorazione comporta la necessità di monitorare nel tempo le variazioni fiscali, assicurando coerenza tra cespiti, piani di ammortamento e dichiarazioni. Per le imprese di dimensioni maggiori si tratta di un’attività fisiologica; per le realtà meno strutturate può rappresentare un aggravio gestionale non trascurabile.</w:t>
      </w:r>
    </w:p>
    <w:p w:rsidR="00EE7D98" w:rsidRPr="00EE7D98" w:rsidRDefault="00EE7D98" w:rsidP="00EE7D98">
      <w:r w:rsidRPr="00EE7D98">
        <w:t>A ciò si aggiunge l’attesa di disposizioni attuative e di procedure informatiche dedicate, segnalata nelle prime letture operative, che conferma la tendenza verso modelli di controllo più strutturati. (</w:t>
      </w:r>
      <w:hyperlink r:id="rId8" w:tgtFrame="_new" w:history="1">
        <w:r w:rsidRPr="00EE7D98">
          <w:rPr>
            <w:rStyle w:val="Collegamentoipertestuale"/>
          </w:rPr>
          <w:t>terrinassociati.com</w:t>
        </w:r>
      </w:hyperlink>
      <w:r w:rsidRPr="00EE7D98">
        <w:t>) Se da un lato tali strumenti favoriscono la trasparenza, dall’altro richiedono alle imprese un livello di organizzazione amministrativa più elevato.</w:t>
      </w:r>
    </w:p>
    <w:p w:rsidR="00EE7D98" w:rsidRPr="00EE7D98" w:rsidRDefault="00EE7D98" w:rsidP="00EE7D98">
      <w:r w:rsidRPr="00EE7D98">
        <w:t>Un ulteriore rischio, meno evidente ma altrettanto rilevante, riguarda la sovrastima del beneficio. La percentuale di maggiorazione può indurre a percepire l’agevolazione come particolarmente generosa; tuttavia, il risparmio effettivo dipende dall’aliquota fiscale e dalla distribuzione temporale della deduzione. Senza un’adeguata simulazione, l’impresa potrebbe attribuire all’incentivo un valore superiore a quello realmente conseguibile, con possibili effetti distorsivi nelle decisioni di investimento.</w:t>
      </w:r>
    </w:p>
    <w:p w:rsidR="00EE7D98" w:rsidRPr="00EE7D98" w:rsidRDefault="00EE7D98" w:rsidP="00EE7D98">
      <w:r w:rsidRPr="00EE7D98">
        <w:t>È proprio qui che emerge la differenza tra convenienza apparente e convenienza reale. La prima si fonda sulla percentuale; la seconda su un’analisi che tenga conto del tempo, della redditività e del costo del capitale.</w:t>
      </w:r>
    </w:p>
    <w:p w:rsidR="00EE7D98" w:rsidRPr="00EE7D98" w:rsidRDefault="00EE7D98" w:rsidP="00EE7D98">
      <w:r w:rsidRPr="00EE7D98">
        <w:t>Infine, non può essere trascurato il tema dei controlli. L’esperienza degli incentivi precedenti ha mostrato una crescente attenzione dell’Amministrazione finanziaria verso le misure di politica industriale, sia per il loro impatto sui conti pubblici sia per il rischio di utilizzi impropri. In tale contesto, la linea di demarcazione tra errore interpretativo e indebita fruizione può diventare sottile, rendendo ancora più centrale il presidio professionale.</w:t>
      </w:r>
    </w:p>
    <w:p w:rsidR="00EE7D98" w:rsidRPr="00EE7D98" w:rsidRDefault="00EE7D98" w:rsidP="00EE7D98">
      <w:r w:rsidRPr="00EE7D98">
        <w:t>In conclusione, i profili critici dell’</w:t>
      </w:r>
      <w:proofErr w:type="spellStart"/>
      <w:r w:rsidRPr="00EE7D98">
        <w:t>iperammortamento</w:t>
      </w:r>
      <w:proofErr w:type="spellEnd"/>
      <w:r w:rsidRPr="00EE7D98">
        <w:t xml:space="preserve"> non ne ridimensionano la portata, ma ne definiscono il grado di esigibilità. L’incentivo non è concepito per essere fruito in modo superficiale; richiede, al contrario, una combinazione di competenza tecnica, disciplina documentale e visione prospettica. Più che una misura complessa, è una misura selettiva: tende a favorire le imprese che investono con metodo e che sono in grado di governare il rischio fiscale con consapevolezza.</w:t>
      </w:r>
    </w:p>
    <w:p w:rsidR="00EE7D98" w:rsidRPr="00EE7D98" w:rsidRDefault="00EE7D98" w:rsidP="00EE7D98">
      <w:pPr>
        <w:rPr>
          <w:b/>
          <w:bCs/>
        </w:rPr>
      </w:pPr>
      <w:r w:rsidRPr="00EE7D98">
        <w:rPr>
          <w:b/>
          <w:bCs/>
        </w:rPr>
        <w:t xml:space="preserve">7. </w:t>
      </w:r>
      <w:proofErr w:type="spellStart"/>
      <w:r w:rsidRPr="00EE7D98">
        <w:rPr>
          <w:b/>
          <w:bCs/>
        </w:rPr>
        <w:t>Iperammortamento</w:t>
      </w:r>
      <w:proofErr w:type="spellEnd"/>
      <w:r w:rsidRPr="00EE7D98">
        <w:rPr>
          <w:b/>
          <w:bCs/>
        </w:rPr>
        <w:t xml:space="preserve"> e politica industriale: incentivo alla competitività o ritorno a logiche fiscali tradizionali?</w:t>
      </w:r>
    </w:p>
    <w:p w:rsidR="00EE7D98" w:rsidRPr="00EE7D98" w:rsidRDefault="00EE7D98" w:rsidP="00EE7D98">
      <w:r w:rsidRPr="00EE7D98">
        <w:lastRenderedPageBreak/>
        <w:t>La reintroduzione dell’</w:t>
      </w:r>
      <w:proofErr w:type="spellStart"/>
      <w:r w:rsidRPr="00EE7D98">
        <w:t>iperammortamento</w:t>
      </w:r>
      <w:proofErr w:type="spellEnd"/>
      <w:r w:rsidRPr="00EE7D98">
        <w:t xml:space="preserve"> ad opera della Legge di Bilancio 2026 non può essere letta esclusivamente come una scelta tecnica in materia tributaria. Al contrario, essa si inserisce in una traiettoria più ampia di politica economica, nella quale la leva fiscale torna a essere utilizzata come strumento di orientamento delle decisioni imprenditoriali. Comprendere la portata della misura significa, dunque, interrogarsi sulla sua funzione sistemica: si tratta di un ritorno al passato o dell’evoluzione di un modello di sostegno agli investimenti?</w:t>
      </w:r>
    </w:p>
    <w:p w:rsidR="00EE7D98" w:rsidRPr="00EE7D98" w:rsidRDefault="00EE7D98" w:rsidP="00EE7D98">
      <w:r w:rsidRPr="00EE7D98">
        <w:t>Per rispondere a tale quesito è utile partire da una constatazione. Negli ultimi anni, il credito d’imposta ha rappresentato il principale strumento di incentivo alla trasformazione tecnologica delle imprese, soprattutto nell’ambito dei programmi di digitalizzazione e innovazione. La sua diffusione è stata favorita da una percezione di immediatezza finanziaria e da una maggiore neutralità rispetto alla redditività dell’impresa.</w:t>
      </w:r>
    </w:p>
    <w:p w:rsidR="00EE7D98" w:rsidRPr="00EE7D98" w:rsidRDefault="00EE7D98" w:rsidP="00EE7D98">
      <w:r w:rsidRPr="00EE7D98">
        <w:t>Il ritorno all’</w:t>
      </w:r>
      <w:proofErr w:type="spellStart"/>
      <w:r w:rsidRPr="00EE7D98">
        <w:t>iperammortamento</w:t>
      </w:r>
      <w:proofErr w:type="spellEnd"/>
      <w:r w:rsidRPr="00EE7D98">
        <w:t xml:space="preserve"> segnala, invece, un mutamento di prospettiva. La maggiorazione del costo fiscalmente riconosciuto — come richiamato nelle sintesi istituzionali — mira a sostenere gli investimenti produttivi attraverso una riduzione progressiva del reddito imponibile, restituendo centralità alla deduzione quale strumento di politica industriale. (</w:t>
      </w:r>
      <w:hyperlink r:id="rId9" w:tgtFrame="_new" w:history="1">
        <w:r w:rsidRPr="00EE7D98">
          <w:rPr>
            <w:rStyle w:val="Collegamentoipertestuale"/>
          </w:rPr>
          <w:t>mef.gov.it</w:t>
        </w:r>
      </w:hyperlink>
      <w:r w:rsidRPr="00EE7D98">
        <w:t>)</w:t>
      </w:r>
    </w:p>
    <w:p w:rsidR="00EE7D98" w:rsidRPr="00EE7D98" w:rsidRDefault="00EE7D98" w:rsidP="00EE7D98">
      <w:r w:rsidRPr="00EE7D98">
        <w:t>Questa scelta non appare casuale. In un contesto economico caratterizzato da crescente competizione tecnologica e da una ridefinizione delle catene globali del valore, gli Stati tendono a rafforzare gli strumenti capaci di incidere sulla struttura produttiva interna. L’</w:t>
      </w:r>
      <w:proofErr w:type="spellStart"/>
      <w:r w:rsidRPr="00EE7D98">
        <w:t>iperammortamento</w:t>
      </w:r>
      <w:proofErr w:type="spellEnd"/>
      <w:r w:rsidRPr="00EE7D98">
        <w:t>, in questa prospettiva, non è soltanto un incentivo all’acquisto di beni strumentali, ma un meccanismo volto a stimolare investimenti che accrescano la capacità competitiva del sistema economico.</w:t>
      </w:r>
    </w:p>
    <w:p w:rsidR="00EE7D98" w:rsidRPr="00EE7D98" w:rsidRDefault="00EE7D98" w:rsidP="00EE7D98">
      <w:r w:rsidRPr="00EE7D98">
        <w:t>La previsione secondo cui i beni devono essere prodotti all’interno dell’Unione europea o dello Spazio economico europeo rafforza tale lettura. (</w:t>
      </w:r>
      <w:hyperlink r:id="rId10" w:tgtFrame="_new" w:history="1">
        <w:r w:rsidRPr="00EE7D98">
          <w:rPr>
            <w:rStyle w:val="Collegamentoipertestuale"/>
          </w:rPr>
          <w:t>fiscoetasse.com</w:t>
        </w:r>
      </w:hyperlink>
      <w:r w:rsidRPr="00EE7D98">
        <w:t>) Non si tratta soltanto di una clausola tecnica, ma di un segnale politico: favorire filiere tecnologiche interne, ridurre la dipendenza da mercati extraeuropei e sostenere, indirettamente, l’industria continentale.</w:t>
      </w:r>
    </w:p>
    <w:p w:rsidR="00EE7D98" w:rsidRPr="00EE7D98" w:rsidRDefault="00EE7D98" w:rsidP="00EE7D98">
      <w:r w:rsidRPr="00EE7D98">
        <w:t>In questa chiave, la misura si colloca al crocevia tra politica fiscale e geopolitica economica. Il fisco non è più soltanto uno strumento di raccolta delle risorse, ma un vettore attraverso cui orientare gli equilibri produttivi.</w:t>
      </w:r>
    </w:p>
    <w:p w:rsidR="00EE7D98" w:rsidRPr="00EE7D98" w:rsidRDefault="00EE7D98" w:rsidP="00EE7D98">
      <w:r w:rsidRPr="00EE7D98">
        <w:t>Tuttavia, la scelta di privilegiare una deduzione rispetto a un credito implica anche una diversa filosofia dell’incentivo. Il beneficio dell’</w:t>
      </w:r>
      <w:proofErr w:type="spellStart"/>
      <w:r w:rsidRPr="00EE7D98">
        <w:t>iperammortamento</w:t>
      </w:r>
      <w:proofErr w:type="spellEnd"/>
      <w:r w:rsidRPr="00EE7D98">
        <w:t xml:space="preserve"> si realizza nel tempo e presuppone la capacità dell’impresa di generare reddito imponibile. Ciò comporta una selezione implicita a favore delle realtà economicamente più solide o dotate di prospettive di crescita credibili.</w:t>
      </w:r>
    </w:p>
    <w:p w:rsidR="00EE7D98" w:rsidRPr="00EE7D98" w:rsidRDefault="00EE7D98" w:rsidP="00EE7D98">
      <w:r w:rsidRPr="00EE7D98">
        <w:t>Questo elemento solleva un interrogativo non banale: l’incentivo è pensato per sostenere tutte le imprese o, piuttosto, per rafforzare quelle già in grado di investire? La risposta, probabilmente, risiede in un equilibrio tra le due esigenze. Da un lato, la misura stimola nuovi investimenti; dall’altro, tende a premiare chi possiede già una struttura economica capace di valorizzarli.</w:t>
      </w:r>
    </w:p>
    <w:p w:rsidR="00EE7D98" w:rsidRPr="00EE7D98" w:rsidRDefault="00EE7D98" w:rsidP="00EE7D98">
      <w:r w:rsidRPr="00EE7D98">
        <w:t>Non si tratta necessariamente di un limite. In molti sistemi economici avanzati, le politiche industriali si concentrano proprio sulla capacità di generare effetti moltiplicativi, sostenendo gli investimenti che producono innovazione e produttività. L’</w:t>
      </w:r>
      <w:proofErr w:type="spellStart"/>
      <w:r w:rsidRPr="00EE7D98">
        <w:t>iperammortamento</w:t>
      </w:r>
      <w:proofErr w:type="spellEnd"/>
      <w:r w:rsidRPr="00EE7D98">
        <w:t xml:space="preserve"> sembra muoversi in questa direzione, favorendo programmi che non siano meramente sostitutivi, ma trasformativi.</w:t>
      </w:r>
    </w:p>
    <w:p w:rsidR="00EE7D98" w:rsidRPr="00EE7D98" w:rsidRDefault="00EE7D98" w:rsidP="00EE7D98">
      <w:r w:rsidRPr="00EE7D98">
        <w:t>Un ulteriore elemento di riflessione riguarda il rapporto tra incentivo e programmazione. La finestra temporale pluriennale prevista dalla disciplina suggerisce una volontà di stabilizzare il quadro delle agevolazioni, consentendo alle imprese di pianificare con un orizzonte più ampio rispetto alle logiche annuali che spesso hanno caratterizzato il passato. (</w:t>
      </w:r>
      <w:hyperlink r:id="rId11" w:tgtFrame="_new" w:history="1">
        <w:r w:rsidRPr="00EE7D98">
          <w:rPr>
            <w:rStyle w:val="Collegamentoipertestuale"/>
          </w:rPr>
          <w:t>mef.gov.it</w:t>
        </w:r>
      </w:hyperlink>
      <w:r w:rsidRPr="00EE7D98">
        <w:t>) La prevedibilità, in materia fiscale, è di per sé un fattore competitivo: riduce l’incertezza e favorisce decisioni di investimento più strutturate.</w:t>
      </w:r>
    </w:p>
    <w:p w:rsidR="00EE7D98" w:rsidRPr="00EE7D98" w:rsidRDefault="00EE7D98" w:rsidP="00EE7D98">
      <w:r w:rsidRPr="00EE7D98">
        <w:lastRenderedPageBreak/>
        <w:t>Al tempo stesso, la misura richiama una concezione meno “assistenziale” dell’incentivo. Il beneficio non si traduce in un apporto immediato di liquidità, ma in una riduzione progressiva del carico tributario. Ciò implica che l’investimento debba essere sostenuto da una logica industriale autonoma, non soltanto dalla prospettiva del vantaggio fiscale.</w:t>
      </w:r>
    </w:p>
    <w:p w:rsidR="00EE7D98" w:rsidRPr="00EE7D98" w:rsidRDefault="00EE7D98" w:rsidP="00EE7D98">
      <w:r w:rsidRPr="00EE7D98">
        <w:t>In questa prospettiva, l’</w:t>
      </w:r>
      <w:proofErr w:type="spellStart"/>
      <w:r w:rsidRPr="00EE7D98">
        <w:t>iperammortamento</w:t>
      </w:r>
      <w:proofErr w:type="spellEnd"/>
      <w:r w:rsidRPr="00EE7D98">
        <w:t xml:space="preserve"> appare coerente con un modello di politica economica che privilegia la responsabilizzazione degli operatori. L’incentivo esiste, ma richiede visione; è accessibile, ma non automatico; è rilevante, ma non sostitutivo della strategia imprenditoriale.</w:t>
      </w:r>
    </w:p>
    <w:p w:rsidR="00EE7D98" w:rsidRPr="00EE7D98" w:rsidRDefault="00EE7D98" w:rsidP="00EE7D98">
      <w:r w:rsidRPr="00EE7D98">
        <w:t>Naturalmente, resta aperta una questione di fondo: fino a che punto la leva fiscale è in grado di orientare le scelte di investimento? L’esperienza mostra che gli incentivi funzionano quando si innestano su bisogni reali dell’impresa; difficilmente riescono a generare investimenti privi di una logica economica sottostante.</w:t>
      </w:r>
    </w:p>
    <w:p w:rsidR="00EE7D98" w:rsidRPr="00EE7D98" w:rsidRDefault="00EE7D98" w:rsidP="00EE7D98">
      <w:r w:rsidRPr="00EE7D98">
        <w:t>Da questo punto di vista, l’</w:t>
      </w:r>
      <w:proofErr w:type="spellStart"/>
      <w:r w:rsidRPr="00EE7D98">
        <w:t>iperammortamento</w:t>
      </w:r>
      <w:proofErr w:type="spellEnd"/>
      <w:r w:rsidRPr="00EE7D98">
        <w:t xml:space="preserve"> può essere letto più come acceleratore che come motore. Favorisce decisioni già plausibili, rendendole più convenienti, ma difficilmente trasformerà un investimento strutturalmente non sostenibile in un progetto economicamente valido.</w:t>
      </w:r>
    </w:p>
    <w:p w:rsidR="00EE7D98" w:rsidRPr="00EE7D98" w:rsidRDefault="00EE7D98" w:rsidP="00EE7D98">
      <w:r w:rsidRPr="00EE7D98">
        <w:t>Il ritorno alla deduzione maggiorata potrebbe inoltre contribuire a ristabilire un rapporto più lineare tra beneficio fiscale e ciclo di vita del bene. L’ammortamento accompagna l’utilizzo economico dell’investimento; la maggiorazione rafforza tale correlazione, evitando che l’incentivo si concentri in un’unica fase temporale.</w:t>
      </w:r>
    </w:p>
    <w:p w:rsidR="00EE7D98" w:rsidRPr="00EE7D98" w:rsidRDefault="00EE7D98" w:rsidP="00EE7D98">
      <w:r w:rsidRPr="00EE7D98">
        <w:t>Questa coerenza temporale non è un dettaglio tecnico, ma un elemento che riduce il rischio di distorsioni nelle decisioni aziendali. L’impresa non è incentivata ad anticipare artificialmente l’investimento per cogliere un vantaggio immediato; è piuttosto incoraggiata a inserirlo in una traiettoria produttiva.</w:t>
      </w:r>
    </w:p>
    <w:p w:rsidR="00EE7D98" w:rsidRPr="00EE7D98" w:rsidRDefault="00EE7D98" w:rsidP="00EE7D98">
      <w:r w:rsidRPr="00EE7D98">
        <w:t>In definitiva, la domanda iniziale — se l’</w:t>
      </w:r>
      <w:proofErr w:type="spellStart"/>
      <w:r w:rsidRPr="00EE7D98">
        <w:t>iperammortamento</w:t>
      </w:r>
      <w:proofErr w:type="spellEnd"/>
      <w:r w:rsidRPr="00EE7D98">
        <w:t xml:space="preserve"> rappresenti un ritorno a logiche fiscali tradizionali — potrebbe essere riformulata in termini diversi. Più che un ritorno, sembra trattarsi di una rielaborazione: uno strumento già noto viene adattato a un contesto economico mutato, nel quale la competitività si gioca sempre più sulla capacità di investire in tecnologia e innovazione.</w:t>
      </w:r>
    </w:p>
    <w:p w:rsidR="00EE7D98" w:rsidRPr="00EE7D98" w:rsidRDefault="00EE7D98" w:rsidP="00EE7D98">
      <w:r w:rsidRPr="00EE7D98">
        <w:t>La vera novità non risiede tanto nella tecnica della deduzione, quanto nel quadro strategico in cui essa viene collocata. L’</w:t>
      </w:r>
      <w:proofErr w:type="spellStart"/>
      <w:r w:rsidRPr="00EE7D98">
        <w:t>iperammortamento</w:t>
      </w:r>
      <w:proofErr w:type="spellEnd"/>
      <w:r w:rsidRPr="00EE7D98">
        <w:t xml:space="preserve"> diventa parte di una visione che riconosce nell’investimento produttivo uno dei principali fattori di crescita.</w:t>
      </w:r>
    </w:p>
    <w:p w:rsidR="00EE7D98" w:rsidRPr="00EE7D98" w:rsidRDefault="00EE7D98" w:rsidP="00EE7D98">
      <w:r w:rsidRPr="00EE7D98">
        <w:t>Per le imprese e per i professionisti che le affiancano, la sfida non sarà soltanto applicativa, ma interpretativa. Comprendere la funzione sistemica della misura significa coglierne il senso oltre la percentuale di maggiorazione: non un semplice vantaggio fiscale, ma un tassello di una politica economica che punta a rafforzare la struttura industriale del Paese.</w:t>
      </w:r>
    </w:p>
    <w:p w:rsidR="000601BE" w:rsidRPr="000601BE" w:rsidRDefault="000601BE" w:rsidP="000601BE">
      <w:pPr>
        <w:rPr>
          <w:b/>
          <w:bCs/>
        </w:rPr>
      </w:pPr>
      <w:r w:rsidRPr="000601BE">
        <w:rPr>
          <w:b/>
          <w:bCs/>
        </w:rPr>
        <w:t>Considerazioni conclusive — Una misura che premia chi investe, ma richiede maggiore consapevolezza fiscale</w:t>
      </w:r>
    </w:p>
    <w:p w:rsidR="000601BE" w:rsidRPr="000601BE" w:rsidRDefault="000601BE" w:rsidP="000601BE">
      <w:r w:rsidRPr="000601BE">
        <w:t>L’</w:t>
      </w:r>
      <w:proofErr w:type="spellStart"/>
      <w:r w:rsidRPr="000601BE">
        <w:t>iperammortamento</w:t>
      </w:r>
      <w:proofErr w:type="spellEnd"/>
      <w:r w:rsidRPr="000601BE">
        <w:t xml:space="preserve"> ex Legge di Bilancio 2026 si presenta, nel panorama degli incentivi agli investimenti, come una misura che recupera una tecnica agevolativa già sperimentata dall’ordinamento tributario, ma la colloca in un contesto profondamente diverso, segnato da esigenze di trasformazione tecnologica, di autonomia industriale e di programmazione di medio periodo. La scelta di tornare alla maggiorazione del costo fiscalmente riconosciuto — dopo la lunga fase dominata dai crediti d’imposta — non è, dunque, un semplice cambio di strumento: è un mutamento di impostazione, che tende a riallineare incentivo e ciclo economico dell’investimento.</w:t>
      </w:r>
    </w:p>
    <w:p w:rsidR="000601BE" w:rsidRPr="000601BE" w:rsidRDefault="000601BE" w:rsidP="000601BE">
      <w:r w:rsidRPr="000601BE">
        <w:lastRenderedPageBreak/>
        <w:t>La caratteristica più rilevante della misura è la sua natura di beneficio “nel tempo”. L’</w:t>
      </w:r>
      <w:proofErr w:type="spellStart"/>
      <w:r w:rsidRPr="000601BE">
        <w:t>iperammortamento</w:t>
      </w:r>
      <w:proofErr w:type="spellEnd"/>
      <w:r w:rsidRPr="000601BE">
        <w:t xml:space="preserve"> non produce un vantaggio immediato assimilabile a un flusso finanziario, ma un risparmio d’imposta distribuito lungo il periodo di deduzione, secondo le regole ordinarie di ammortamento e di imputazione fiscale. In termini pratici, ciò significa che l’incentivo funziona pienamente quando l’impresa dispone — o prevede di disporre — di imponibili assorbenti e di una traiettoria reddituale sufficientemente stabile. È un incentivo che, per sua struttura, premia la continuità economica e scoraggia l’approccio opportunistico: non basta acquistare un bene, occorre inserirlo in una strategia produttiva capace di generare reddito.</w:t>
      </w:r>
    </w:p>
    <w:p w:rsidR="000601BE" w:rsidRPr="000601BE" w:rsidRDefault="000601BE" w:rsidP="000601BE">
      <w:r w:rsidRPr="000601BE">
        <w:t>Questa impostazione, letta in chiave sistemica, appare coerente con un obiettivo di politica industriale più selettivo. Il legislatore non sembra voler sostenere indiscriminatamente la domanda di cespiti, bensì incentivare investimenti qualificati, tecnologicamente rilevanti e collocati in filiere coerenti con gli orientamenti europei. In tal senso, requisiti come la produzione UE/SEE e la destinazione a strutture produttive nel territorio dello Stato assumono una valenza che va oltre il tecnicismo: sono segnali di una politica fiscale che intende orientare, almeno in parte, le scelte di investimento.</w:t>
      </w:r>
    </w:p>
    <w:p w:rsidR="000601BE" w:rsidRPr="000601BE" w:rsidRDefault="000601BE" w:rsidP="000601BE">
      <w:r w:rsidRPr="000601BE">
        <w:t>Accanto alle opportunità, l’</w:t>
      </w:r>
      <w:proofErr w:type="spellStart"/>
      <w:r w:rsidRPr="000601BE">
        <w:t>iperammortamento</w:t>
      </w:r>
      <w:proofErr w:type="spellEnd"/>
      <w:r w:rsidRPr="000601BE">
        <w:t xml:space="preserve"> 2026 rende tuttavia evidente un punto che, nella pratica professionale, non può essere sottovalutato: la convenienza non è separabile dalla difendibilità. L’agevolazione vive nella dichiarazione dei redditi e richiede una filiera documentale robusta, capace di sostenere nel tempo la qualificazione del bene, la dimostrazione dei requisiti, la tracciabilità dell’investimento e la coerenza tra piani di ammortamento e variazioni extracontabili. In un contesto nel quale i controlli sugli incentivi di politica industriale sono fisiologicamente destinati a rafforzarsi, la compliance non è un costo accessorio, ma una componente strutturale della misura.</w:t>
      </w:r>
    </w:p>
    <w:p w:rsidR="000601BE" w:rsidRPr="000601BE" w:rsidRDefault="000601BE" w:rsidP="000601BE">
      <w:r w:rsidRPr="000601BE">
        <w:t>Ne discende un’evoluzione del ruolo del professionista. L’assistenza non può limitarsi al calcolo della maggiorazione o alla compilazione della dichiarazione, ma deve estendersi alla progettazione del percorso: verifica ex ante dell’</w:t>
      </w:r>
      <w:proofErr w:type="spellStart"/>
      <w:r w:rsidRPr="000601BE">
        <w:t>agevolabilità</w:t>
      </w:r>
      <w:proofErr w:type="spellEnd"/>
      <w:r w:rsidRPr="000601BE">
        <w:t>, coordinamento tra area tecnica e amministrativa, presidio della documentazione, simulazione dell’impatto sul carico fiscale pluriennale e integrazione dell’incentivo nella programmazione finanziaria. È qui che l’</w:t>
      </w:r>
      <w:proofErr w:type="spellStart"/>
      <w:r w:rsidRPr="000601BE">
        <w:t>iperammortamento</w:t>
      </w:r>
      <w:proofErr w:type="spellEnd"/>
      <w:r w:rsidRPr="000601BE">
        <w:t xml:space="preserve"> rivela la propria natura più autentica: non è una leva “di fine anno”, ma uno strumento di pianificazione.</w:t>
      </w:r>
    </w:p>
    <w:p w:rsidR="000601BE" w:rsidRPr="000601BE" w:rsidRDefault="000601BE" w:rsidP="000601BE">
      <w:r w:rsidRPr="000601BE">
        <w:t>Da un punto di vista normativo, la misura dialoga con l’impianto generale del reddito d’impresa delineato dal TUIR (D.P.R. 917/1986), nel quale il bilancio rappresenta il punto di partenza e la base imponibile si forma attraverso variazioni in aumento e in diminuzione. In particolare, la disciplina dell’ammortamento fiscale dei beni strumentali (artt. 102 e 103 TUIR) costituisce la struttura portante sulla quale l’</w:t>
      </w:r>
      <w:proofErr w:type="spellStart"/>
      <w:r w:rsidRPr="000601BE">
        <w:t>iperammortamento</w:t>
      </w:r>
      <w:proofErr w:type="spellEnd"/>
      <w:r w:rsidRPr="000601BE">
        <w:t xml:space="preserve"> innesta la propria maggiorazione, mentre i criteri di imputazione temporale (art. 109 TUIR) restano determinanti nella corretta collocazione dell’investimento nel periodo agevolato. A monte, la Legge di Bilancio 2026 (Legge 30 dicembre 2025, n. 199) è la fonte primaria che introduce la misura e ne delimita perimetro e finalità.</w:t>
      </w:r>
    </w:p>
    <w:p w:rsidR="000601BE" w:rsidRPr="000601BE" w:rsidRDefault="000601BE" w:rsidP="000601BE">
      <w:r w:rsidRPr="000601BE">
        <w:t>In conclusione, l’</w:t>
      </w:r>
      <w:proofErr w:type="spellStart"/>
      <w:r w:rsidRPr="000601BE">
        <w:t>iperammortamento</w:t>
      </w:r>
      <w:proofErr w:type="spellEnd"/>
      <w:r w:rsidRPr="000601BE">
        <w:t xml:space="preserve"> 2026 appare come una misura che può risultare particolarmente efficace, ma che richiede una maggiore consapevolezza fiscale rispetto a strumenti percepiti, negli anni recenti, come più “automatici”. La sua efficacia non dipende soltanto dall’aliquota di maggiorazione, bensì dalla capacità dell’impresa di leggere il proprio investimento in una prospettiva industriale e reddituale e dalla capacità, del professionista, di trasformare la norma in un beneficio sostenibile, documentato e coerente con la strategia aziendale.</w:t>
      </w:r>
    </w:p>
    <w:p w:rsidR="000601BE" w:rsidRPr="000601BE" w:rsidRDefault="000601BE" w:rsidP="000601BE">
      <w:r w:rsidRPr="000601BE">
        <w:t xml:space="preserve">È probabilmente questa la vera cifra della misura: un incentivo che non promette indiscriminatamente, ma seleziona. Premia chi investe con metodo e governa la trasformazione produttiva con strumenti adeguati. E, proprio per questo, può rappresentare non soltanto un vantaggio tributario, ma un’occasione per riportare l’incentivo fiscale al suo ruolo più utile: accompagnare </w:t>
      </w:r>
      <w:r w:rsidRPr="000601BE">
        <w:lastRenderedPageBreak/>
        <w:t>l’impresa verso scelte di investimento più strutturate, più difendibili e, in ultima analisi, più competitive.</w:t>
      </w:r>
    </w:p>
    <w:p w:rsidR="00A24B99" w:rsidRDefault="00A24B99"/>
    <w:sectPr w:rsidR="00A24B9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B99"/>
    <w:rsid w:val="000601BE"/>
    <w:rsid w:val="00281B88"/>
    <w:rsid w:val="006E5569"/>
    <w:rsid w:val="00A24B99"/>
    <w:rsid w:val="00B47B83"/>
    <w:rsid w:val="00EE7D9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7574C"/>
  <w15:chartTrackingRefBased/>
  <w15:docId w15:val="{017C64B9-0068-40DD-A0DB-6A78FCED5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24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24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24B9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24B9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24B9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24B9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24B9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24B9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24B9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24B9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24B9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24B9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24B9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24B9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24B9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24B9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24B9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24B99"/>
    <w:rPr>
      <w:rFonts w:eastAsiaTheme="majorEastAsia" w:cstheme="majorBidi"/>
      <w:color w:val="272727" w:themeColor="text1" w:themeTint="D8"/>
    </w:rPr>
  </w:style>
  <w:style w:type="paragraph" w:styleId="Titolo">
    <w:name w:val="Title"/>
    <w:basedOn w:val="Normale"/>
    <w:next w:val="Normale"/>
    <w:link w:val="TitoloCarattere"/>
    <w:uiPriority w:val="10"/>
    <w:qFormat/>
    <w:rsid w:val="00A24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24B9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24B9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24B9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24B9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24B99"/>
    <w:rPr>
      <w:i/>
      <w:iCs/>
      <w:color w:val="404040" w:themeColor="text1" w:themeTint="BF"/>
    </w:rPr>
  </w:style>
  <w:style w:type="paragraph" w:styleId="Paragrafoelenco">
    <w:name w:val="List Paragraph"/>
    <w:basedOn w:val="Normale"/>
    <w:uiPriority w:val="34"/>
    <w:qFormat/>
    <w:rsid w:val="00A24B99"/>
    <w:pPr>
      <w:ind w:left="720"/>
      <w:contextualSpacing/>
    </w:pPr>
  </w:style>
  <w:style w:type="character" w:styleId="Enfasiintensa">
    <w:name w:val="Intense Emphasis"/>
    <w:basedOn w:val="Carpredefinitoparagrafo"/>
    <w:uiPriority w:val="21"/>
    <w:qFormat/>
    <w:rsid w:val="00A24B99"/>
    <w:rPr>
      <w:i/>
      <w:iCs/>
      <w:color w:val="0F4761" w:themeColor="accent1" w:themeShade="BF"/>
    </w:rPr>
  </w:style>
  <w:style w:type="paragraph" w:styleId="Citazioneintensa">
    <w:name w:val="Intense Quote"/>
    <w:basedOn w:val="Normale"/>
    <w:next w:val="Normale"/>
    <w:link w:val="CitazioneintensaCarattere"/>
    <w:uiPriority w:val="30"/>
    <w:qFormat/>
    <w:rsid w:val="00A24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24B99"/>
    <w:rPr>
      <w:i/>
      <w:iCs/>
      <w:color w:val="0F4761" w:themeColor="accent1" w:themeShade="BF"/>
    </w:rPr>
  </w:style>
  <w:style w:type="character" w:styleId="Riferimentointenso">
    <w:name w:val="Intense Reference"/>
    <w:basedOn w:val="Carpredefinitoparagrafo"/>
    <w:uiPriority w:val="32"/>
    <w:qFormat/>
    <w:rsid w:val="00A24B99"/>
    <w:rPr>
      <w:b/>
      <w:bCs/>
      <w:smallCaps/>
      <w:color w:val="0F4761" w:themeColor="accent1" w:themeShade="BF"/>
      <w:spacing w:val="5"/>
    </w:rPr>
  </w:style>
  <w:style w:type="character" w:styleId="Collegamentoipertestuale">
    <w:name w:val="Hyperlink"/>
    <w:basedOn w:val="Carpredefinitoparagrafo"/>
    <w:uiPriority w:val="99"/>
    <w:unhideWhenUsed/>
    <w:rsid w:val="00EE7D98"/>
    <w:rPr>
      <w:color w:val="467886" w:themeColor="hyperlink"/>
      <w:u w:val="single"/>
    </w:rPr>
  </w:style>
  <w:style w:type="character" w:styleId="Menzionenonrisolta">
    <w:name w:val="Unresolved Mention"/>
    <w:basedOn w:val="Carpredefinitoparagrafo"/>
    <w:uiPriority w:val="99"/>
    <w:semiHidden/>
    <w:unhideWhenUsed/>
    <w:rsid w:val="00EE7D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rrinassociati.com/iper-ammortamento-2026-2028-pronta-la-bozza-del-dm-attuativo/?utm_source=chatgpt.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confimibergamo.it/nuovo-iperammortamento-2026-anticipazioni-e-alcuni-dettagli.html?utm_source=chatgpt.com" TargetMode="Externa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www.fiscoetasse.com/approfondimenti/16981-legge-finanziaria-2026-liperammortamento.html?utm_source=chatgpt.com" TargetMode="External"/><Relationship Id="rId11" Type="http://schemas.openxmlformats.org/officeDocument/2006/relationships/hyperlink" Target="https://www.mef.gov.it/focus/Principali-misure-della-legge-di-bilancio-2026/?utm_source=chatgpt.com" TargetMode="External"/><Relationship Id="rId5" Type="http://schemas.openxmlformats.org/officeDocument/2006/relationships/hyperlink" Target="https://www.fiscoetasse.com/approfondimenti/16981-legge-finanziaria-2026-liperammortamento.html?utm_source=chatgpt.com" TargetMode="External"/><Relationship Id="rId15" Type="http://schemas.openxmlformats.org/officeDocument/2006/relationships/customXml" Target="../customXml/item2.xml"/><Relationship Id="rId10" Type="http://schemas.openxmlformats.org/officeDocument/2006/relationships/hyperlink" Target="https://www.fiscoetasse.com/approfondimenti/16981-legge-finanziaria-2026-liperammortamento.html?utm_source=chatgpt.com" TargetMode="External"/><Relationship Id="rId4" Type="http://schemas.openxmlformats.org/officeDocument/2006/relationships/hyperlink" Target="https://www.mef.gov.it/focus/Principali-misure-della-legge-di-bilancio-2026/?utm_source=chatgpt.com" TargetMode="External"/><Relationship Id="rId9" Type="http://schemas.openxmlformats.org/officeDocument/2006/relationships/hyperlink" Target="https://www.mef.gov.it/focus/Principali-misure-della-legge-di-bilancio-2026/?utm_source=chatgpt.com" TargetMode="External"/><Relationship Id="rId14" Type="http://schemas.openxmlformats.org/officeDocument/2006/relationships/customXml" Target="../customXml/item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31F22C-8145-4C14-B9AE-2DD4E3F192A1}"/>
</file>

<file path=customXml/itemProps2.xml><?xml version="1.0" encoding="utf-8"?>
<ds:datastoreItem xmlns:ds="http://schemas.openxmlformats.org/officeDocument/2006/customXml" ds:itemID="{20C63963-0EEF-4D30-89C6-4C275DBBFAB5}"/>
</file>

<file path=customXml/itemProps3.xml><?xml version="1.0" encoding="utf-8"?>
<ds:datastoreItem xmlns:ds="http://schemas.openxmlformats.org/officeDocument/2006/customXml" ds:itemID="{B91D0C75-113B-4FE5-9F06-F5B4BF39DFDE}"/>
</file>

<file path=docProps/app.xml><?xml version="1.0" encoding="utf-8"?>
<Properties xmlns="http://schemas.openxmlformats.org/officeDocument/2006/extended-properties" xmlns:vt="http://schemas.openxmlformats.org/officeDocument/2006/docPropsVTypes">
  <Template>Normal</Template>
  <TotalTime>38</TotalTime>
  <Pages>18</Pages>
  <Words>10304</Words>
  <Characters>58733</Characters>
  <Application>Microsoft Office Word</Application>
  <DocSecurity>0</DocSecurity>
  <Lines>489</Lines>
  <Paragraphs>137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Gabriele Musazzi</dc:creator>
  <cp:keywords/>
  <dc:description/>
  <cp:lastModifiedBy>Gabriele Musazzi</cp:lastModifiedBy>
  <cp:revision>1</cp:revision>
  <dcterms:created xsi:type="dcterms:W3CDTF">2026-02-06T11:00:00Z</dcterms:created>
  <dcterms:modified xsi:type="dcterms:W3CDTF">2026-02-06T11:38:00Z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