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BE966" w14:textId="77777777" w:rsidR="004161CA" w:rsidRDefault="004161CA" w:rsidP="004161CA">
      <w:pPr>
        <w:pStyle w:val="Titolo2"/>
      </w:pPr>
      <w:r>
        <w:t>Introduzione</w:t>
      </w:r>
    </w:p>
    <w:p w14:paraId="75414E6F" w14:textId="100CCF3C" w:rsidR="00462061" w:rsidRDefault="004161CA" w:rsidP="004161CA">
      <w:pPr>
        <w:rPr>
          <w:i/>
          <w:iCs/>
        </w:rPr>
      </w:pPr>
      <w:r w:rsidRPr="00E94BE7">
        <w:rPr>
          <w:i/>
          <w:iCs/>
        </w:rPr>
        <w:t>"Dopo aver esplorato la potenza di un'analisi diretta e pratica dello stato patrimoniale nel nostro articolo precedente, è il momento di addentrarsi nel movimento dell'azienda: il Conto Economico. Così come per lo stato patrimoniale, anche qui ci affideremo alla nostra abilità di calcolo mentale e al potere dell'osservazione diretta."</w:t>
      </w:r>
    </w:p>
    <w:p w14:paraId="38770336" w14:textId="41CD6C01" w:rsidR="00E94BE7" w:rsidRDefault="00E94BE7" w:rsidP="00E94BE7">
      <w:pPr>
        <w:pStyle w:val="Titolo2"/>
      </w:pPr>
      <w:r>
        <w:t xml:space="preserve">Il Conto Economico: </w:t>
      </w:r>
      <w:r>
        <w:t>il battito di un’azienda</w:t>
      </w:r>
    </w:p>
    <w:p w14:paraId="10FC7915" w14:textId="31DD341A" w:rsidR="00E94BE7" w:rsidRDefault="004161CA" w:rsidP="00E94BE7">
      <w:pPr>
        <w:jc w:val="both"/>
      </w:pPr>
      <w:r>
        <w:t xml:space="preserve">Dopo aver esplorato lo Stato Patrimoniale e averne intuito alcune peculiarità, è il momento di cambiare pagina e </w:t>
      </w:r>
      <w:r w:rsidR="00E94BE7">
        <w:t xml:space="preserve">passare dall’emocromo (statico e riferito ad un dato periodo) al cardiogramma (che registra un’attività in un determinato lasso di tempo) e </w:t>
      </w:r>
      <w:r>
        <w:t xml:space="preserve">analizzare il Conto Economico. </w:t>
      </w:r>
    </w:p>
    <w:p w14:paraId="35623BBF" w14:textId="0AE375D9" w:rsidR="004161CA" w:rsidRDefault="00E94BE7" w:rsidP="00E94BE7">
      <w:pPr>
        <w:jc w:val="both"/>
      </w:pPr>
      <w:r>
        <w:t>Sfatiamo da subito un falso mito</w:t>
      </w:r>
      <w:r w:rsidR="004161CA">
        <w:t xml:space="preserve">: il Conto Economico non serve </w:t>
      </w:r>
      <w:r>
        <w:t>(</w:t>
      </w:r>
      <w:r w:rsidR="004161CA">
        <w:t>solo</w:t>
      </w:r>
      <w:r>
        <w:t>)</w:t>
      </w:r>
      <w:r w:rsidR="004161CA">
        <w:t xml:space="preserve"> a determinare se le cose vanno bene o male. Piuttosto, ci aiuta a comprendere se gli squilibri identificati nell'analisi patrimoniale hanno una chance di riequilibrio in futuro.</w:t>
      </w:r>
      <w:r>
        <w:t xml:space="preserve"> </w:t>
      </w:r>
    </w:p>
    <w:p w14:paraId="12311442" w14:textId="54973A87" w:rsidR="004161CA" w:rsidRDefault="004161CA" w:rsidP="00E94BE7">
      <w:pPr>
        <w:jc w:val="both"/>
      </w:pPr>
      <w:r>
        <w:t xml:space="preserve">Il Conto Economico va al di là di un semplice saldo tra </w:t>
      </w:r>
      <w:r w:rsidR="00E94BE7">
        <w:t xml:space="preserve">costi </w:t>
      </w:r>
      <w:r>
        <w:t xml:space="preserve">e </w:t>
      </w:r>
      <w:r w:rsidR="00E94BE7">
        <w:t>ricavi</w:t>
      </w:r>
      <w:r>
        <w:t>. È uno strumento per capire le dinamiche che stanno dietro alle cifre dello Stato Patrimoniale</w:t>
      </w:r>
      <w:r w:rsidR="00E94BE7">
        <w:t xml:space="preserve"> e ci aiuta a</w:t>
      </w:r>
      <w:r>
        <w:t xml:space="preserve"> discernere se gli eventuali squilibri riscontrati nell'analisi patrimoniale sono temporanei o indicativi di tendenze più preoccupanti.</w:t>
      </w:r>
    </w:p>
    <w:p w14:paraId="3FBE83A5" w14:textId="77777777" w:rsidR="004161CA" w:rsidRDefault="004161CA" w:rsidP="00E94BE7">
      <w:pPr>
        <w:jc w:val="both"/>
      </w:pPr>
      <w:r>
        <w:t>Un Conto Economico robusto potrebbe mostrare una generazione costante di utili, suggerendo che qualsiasi squilibrio patrimoniale è soltanto momentaneo. Al contrario, uno con segni di difficoltà potrebbe indicare che gli squilibri patrimoniali identificati sono profondamente radicati e potrebbero non essere facilmente correggibili.</w:t>
      </w:r>
    </w:p>
    <w:p w14:paraId="1ECFA6B1" w14:textId="77777777" w:rsidR="00563D1A" w:rsidRDefault="00563D1A" w:rsidP="00563D1A">
      <w:pPr>
        <w:jc w:val="both"/>
      </w:pPr>
      <w:r>
        <w:t>### 2. I "Sorvegliati Speciali" del Conto Economico</w:t>
      </w:r>
    </w:p>
    <w:p w14:paraId="1F3A9DF5" w14:textId="77777777" w:rsidR="00563D1A" w:rsidRDefault="00563D1A" w:rsidP="00563D1A">
      <w:pPr>
        <w:jc w:val="both"/>
      </w:pPr>
    </w:p>
    <w:p w14:paraId="26CA88B0" w14:textId="77777777" w:rsidR="00563D1A" w:rsidRDefault="00563D1A" w:rsidP="00563D1A">
      <w:pPr>
        <w:jc w:val="both"/>
      </w:pPr>
      <w:r>
        <w:t xml:space="preserve">Il bilancio di un'azienda, come sottolineato, deve essere vero, trasparente e riflettere la realtà operativa. Tuttavia, esistono voci all'interno del Conto Economico che possono essere oggetto di particolari manovre contabili, spesso indicate come "window </w:t>
      </w:r>
      <w:proofErr w:type="spellStart"/>
      <w:r>
        <w:t>dressing</w:t>
      </w:r>
      <w:proofErr w:type="spellEnd"/>
      <w:r>
        <w:t>", allo scopo di presentare una situazione finanziaria e patrimoniale dell'azienda in maniera più favorevole di quanto non sia in realtà. Ecco alcune voci da monitorare con particolare attenzione:</w:t>
      </w:r>
    </w:p>
    <w:p w14:paraId="42EA82C2" w14:textId="77777777" w:rsidR="00563D1A" w:rsidRDefault="00563D1A" w:rsidP="00563D1A">
      <w:pPr>
        <w:jc w:val="both"/>
      </w:pPr>
    </w:p>
    <w:p w14:paraId="39A71682" w14:textId="77777777" w:rsidR="00563D1A" w:rsidRDefault="00563D1A" w:rsidP="00563D1A">
      <w:pPr>
        <w:jc w:val="both"/>
      </w:pPr>
      <w:r>
        <w:t xml:space="preserve">- **Incremento delle immobilizzazioni per lavori </w:t>
      </w:r>
      <w:proofErr w:type="gramStart"/>
      <w:r>
        <w:t>interni:*</w:t>
      </w:r>
      <w:proofErr w:type="gramEnd"/>
      <w:r>
        <w:t>* Questa voce, se aumentata in modo significativo, potrebbe indicare un tentativo di capitalizzare costi che normalmente sarebbero considerati come spese correnti, migliorando apparentemente la redditività.</w:t>
      </w:r>
    </w:p>
    <w:p w14:paraId="5A173E62" w14:textId="77777777" w:rsidR="00563D1A" w:rsidRDefault="00563D1A" w:rsidP="00563D1A">
      <w:pPr>
        <w:jc w:val="both"/>
      </w:pPr>
    </w:p>
    <w:p w14:paraId="48C1288B" w14:textId="77777777" w:rsidR="00563D1A" w:rsidRDefault="00563D1A" w:rsidP="00563D1A">
      <w:pPr>
        <w:jc w:val="both"/>
      </w:pPr>
      <w:r>
        <w:t xml:space="preserve">- **Incremento del </w:t>
      </w:r>
      <w:proofErr w:type="gramStart"/>
      <w:r>
        <w:t>magazzino:*</w:t>
      </w:r>
      <w:proofErr w:type="gramEnd"/>
      <w:r>
        <w:t>* Un aumento significativo nelle rimanenze può indicare o una produzione in eccesso rispetto alla domanda o un riconoscimento anticipato dei ricavi. Per analizzarla correttamente, bisogna guardare congiuntamente ai cicli di vendita, ai tempi di rotazione del magazzino e confrontarli con periodi precedenti o con gli standard del settore.</w:t>
      </w:r>
    </w:p>
    <w:p w14:paraId="353D2866" w14:textId="77777777" w:rsidR="00563D1A" w:rsidRDefault="00563D1A" w:rsidP="00563D1A">
      <w:pPr>
        <w:jc w:val="both"/>
      </w:pPr>
    </w:p>
    <w:p w14:paraId="0643AAF9" w14:textId="77777777" w:rsidR="00563D1A" w:rsidRDefault="00563D1A" w:rsidP="00563D1A">
      <w:pPr>
        <w:jc w:val="both"/>
      </w:pPr>
      <w:r>
        <w:t>- **Aumenti nelle voci "Altri ricavi" e "Altri oneri di gestione</w:t>
      </w:r>
      <w:proofErr w:type="gramStart"/>
      <w:r>
        <w:t>":*</w:t>
      </w:r>
      <w:proofErr w:type="gramEnd"/>
      <w:r>
        <w:t>* Sono voci generiche che potrebbero nascondere ricavi o costi non ricorrenti o di natura eccezionale. Un aumento significativo in queste voci potrebbe indicare un tentativo di bilanciare o migliorare il risultato operativo attraverso operazioni non legate all'attività tipica dell'azienda.</w:t>
      </w:r>
    </w:p>
    <w:p w14:paraId="6D02C4BB" w14:textId="77777777" w:rsidR="00563D1A" w:rsidRDefault="00563D1A" w:rsidP="00563D1A">
      <w:pPr>
        <w:jc w:val="both"/>
      </w:pPr>
    </w:p>
    <w:p w14:paraId="50D16AFF" w14:textId="1E423591" w:rsidR="008750EC" w:rsidRDefault="00563D1A" w:rsidP="00563D1A">
      <w:pPr>
        <w:jc w:val="both"/>
      </w:pPr>
      <w:r>
        <w:t>È fondamentale per chi analizza un bilancio avere un approccio critico e investigativo, specialmente di fronte a movimenti significativi nelle voci menzionate. Un'analisi approfondita e un confronto con i dati storici, uniti a una conoscenza del contesto aziendale e del settore, sono fondamentali per discernere le reali performance dell'azienda dalle possibili operazioni di maquillage contabile.</w:t>
      </w:r>
    </w:p>
    <w:p w14:paraId="7BAB7CBC" w14:textId="77777777" w:rsidR="00563D1A" w:rsidRDefault="00563D1A" w:rsidP="00563D1A">
      <w:pPr>
        <w:jc w:val="both"/>
      </w:pPr>
      <w:r>
        <w:t>### Variazione del Magazzino: Analisi e Interpretazione</w:t>
      </w:r>
    </w:p>
    <w:p w14:paraId="7CDD258A" w14:textId="77777777" w:rsidR="00563D1A" w:rsidRDefault="00563D1A" w:rsidP="00563D1A">
      <w:pPr>
        <w:jc w:val="both"/>
      </w:pPr>
    </w:p>
    <w:p w14:paraId="4AF6190A" w14:textId="77777777" w:rsidR="00563D1A" w:rsidRDefault="00563D1A" w:rsidP="00563D1A">
      <w:pPr>
        <w:jc w:val="both"/>
      </w:pPr>
      <w:r>
        <w:t>La variazione del magazzino rappresenta una voce critica all'interno del Conto Economico. Può influenzare significativamente il risultato operativo dell'azienda. La sua analisi va affrontata con occhi attenti per comprenderne le cause e verificare la sua legittimità.</w:t>
      </w:r>
    </w:p>
    <w:p w14:paraId="5E2B82DA" w14:textId="77777777" w:rsidR="00563D1A" w:rsidRDefault="00563D1A" w:rsidP="00563D1A">
      <w:pPr>
        <w:jc w:val="both"/>
      </w:pPr>
    </w:p>
    <w:p w14:paraId="4647C674" w14:textId="77777777" w:rsidR="00563D1A" w:rsidRDefault="00563D1A" w:rsidP="00563D1A">
      <w:pPr>
        <w:jc w:val="both"/>
      </w:pPr>
      <w:r>
        <w:t xml:space="preserve">**Quando l'aumento del magazzino è </w:t>
      </w:r>
      <w:proofErr w:type="gramStart"/>
      <w:r>
        <w:t>giustificato:*</w:t>
      </w:r>
      <w:proofErr w:type="gramEnd"/>
      <w:r>
        <w:t>*</w:t>
      </w:r>
    </w:p>
    <w:p w14:paraId="4A952123" w14:textId="77777777" w:rsidR="00563D1A" w:rsidRDefault="00563D1A" w:rsidP="00563D1A">
      <w:pPr>
        <w:jc w:val="both"/>
      </w:pPr>
    </w:p>
    <w:p w14:paraId="5625231D" w14:textId="77777777" w:rsidR="00563D1A" w:rsidRDefault="00563D1A" w:rsidP="00563D1A">
      <w:pPr>
        <w:jc w:val="both"/>
      </w:pPr>
      <w:r>
        <w:t xml:space="preserve">1. **Espansione delle </w:t>
      </w:r>
      <w:proofErr w:type="gramStart"/>
      <w:r>
        <w:t>operazioni:*</w:t>
      </w:r>
      <w:proofErr w:type="gramEnd"/>
      <w:r>
        <w:t>* Se un'azienda sta espandendo le sue operazioni, un incremento delle rimanenze può essere un segno di preparazione ad una crescente domanda prevista.</w:t>
      </w:r>
    </w:p>
    <w:p w14:paraId="69C102D9" w14:textId="77777777" w:rsidR="00563D1A" w:rsidRDefault="00563D1A" w:rsidP="00563D1A">
      <w:pPr>
        <w:jc w:val="both"/>
      </w:pPr>
    </w:p>
    <w:p w14:paraId="2C972D94" w14:textId="77777777" w:rsidR="00563D1A" w:rsidRDefault="00563D1A" w:rsidP="00563D1A">
      <w:pPr>
        <w:jc w:val="both"/>
      </w:pPr>
      <w:r>
        <w:t>2. **</w:t>
      </w:r>
      <w:proofErr w:type="gramStart"/>
      <w:r>
        <w:t>Stagionalità:*</w:t>
      </w:r>
      <w:proofErr w:type="gramEnd"/>
      <w:r>
        <w:t>* Alcuni settori, come quello dell'abbigliamento o dei prodotti agricoli, hanno cicli di vendita stagionali. Un aumento del magazzino può avvenire in previsione di periodi di alta domanda.</w:t>
      </w:r>
    </w:p>
    <w:p w14:paraId="3EBC4C13" w14:textId="77777777" w:rsidR="00563D1A" w:rsidRDefault="00563D1A" w:rsidP="00563D1A">
      <w:pPr>
        <w:jc w:val="both"/>
      </w:pPr>
    </w:p>
    <w:p w14:paraId="58BF4F6A" w14:textId="77777777" w:rsidR="00563D1A" w:rsidRDefault="00563D1A" w:rsidP="00563D1A">
      <w:pPr>
        <w:jc w:val="both"/>
      </w:pPr>
      <w:r>
        <w:t xml:space="preserve">3. **Aspettative sul costo delle materie </w:t>
      </w:r>
      <w:proofErr w:type="gramStart"/>
      <w:r>
        <w:t>prime:*</w:t>
      </w:r>
      <w:proofErr w:type="gramEnd"/>
      <w:r>
        <w:t>* Se ci si aspetta che il costo delle materie prime aumenti, acquistarne in anticipo e aumentare il magazzino può essere una strategia logica.</w:t>
      </w:r>
    </w:p>
    <w:p w14:paraId="3E567F88" w14:textId="77777777" w:rsidR="00563D1A" w:rsidRDefault="00563D1A" w:rsidP="00563D1A">
      <w:pPr>
        <w:jc w:val="both"/>
      </w:pPr>
    </w:p>
    <w:p w14:paraId="17675F13" w14:textId="77777777" w:rsidR="00563D1A" w:rsidRDefault="00563D1A" w:rsidP="00563D1A">
      <w:pPr>
        <w:jc w:val="both"/>
      </w:pPr>
      <w:r>
        <w:t xml:space="preserve">**Quando l'aumento del magazzino è </w:t>
      </w:r>
      <w:proofErr w:type="gramStart"/>
      <w:r>
        <w:t>sospetto:*</w:t>
      </w:r>
      <w:proofErr w:type="gramEnd"/>
      <w:r>
        <w:t>*</w:t>
      </w:r>
    </w:p>
    <w:p w14:paraId="4F999C23" w14:textId="77777777" w:rsidR="00563D1A" w:rsidRDefault="00563D1A" w:rsidP="00563D1A">
      <w:pPr>
        <w:jc w:val="both"/>
      </w:pPr>
      <w:r>
        <w:t xml:space="preserve">1. **Riconoscimento anticipato dei </w:t>
      </w:r>
      <w:proofErr w:type="gramStart"/>
      <w:r>
        <w:t>ricavi:*</w:t>
      </w:r>
      <w:proofErr w:type="gramEnd"/>
      <w:r>
        <w:t>* Se l'azienda riconosce ricavi sulla produzione piuttosto che sulla vendita effettiva, potrebbe gonfiare artificialmente i profitti, accumulando nel contempo merci invendute.</w:t>
      </w:r>
    </w:p>
    <w:p w14:paraId="6AECDA30" w14:textId="77777777" w:rsidR="00563D1A" w:rsidRDefault="00563D1A" w:rsidP="00563D1A">
      <w:pPr>
        <w:jc w:val="both"/>
      </w:pPr>
      <w:r>
        <w:t xml:space="preserve">2. **Ritardi nelle </w:t>
      </w:r>
      <w:proofErr w:type="gramStart"/>
      <w:r>
        <w:t>vendite:*</w:t>
      </w:r>
      <w:proofErr w:type="gramEnd"/>
      <w:r>
        <w:t>* Un incremento del magazzino potrebbe segnalare problemi nella vendita dei prodotti, come un calo della domanda o una concorrenza crescente.</w:t>
      </w:r>
    </w:p>
    <w:p w14:paraId="661DAE2B" w14:textId="14564994" w:rsidR="00563D1A" w:rsidRDefault="00563D1A" w:rsidP="00563D1A">
      <w:pPr>
        <w:jc w:val="both"/>
      </w:pPr>
      <w:r>
        <w:t>**Tecniche di indagine:</w:t>
      </w:r>
    </w:p>
    <w:p w14:paraId="3CBD7BB6" w14:textId="77777777" w:rsidR="00563D1A" w:rsidRDefault="00563D1A" w:rsidP="00563D1A">
      <w:pPr>
        <w:jc w:val="both"/>
      </w:pPr>
      <w:r>
        <w:t xml:space="preserve">1. **Analisi della rotazione delle </w:t>
      </w:r>
      <w:proofErr w:type="gramStart"/>
      <w:r>
        <w:t>rimanenze:*</w:t>
      </w:r>
      <w:proofErr w:type="gramEnd"/>
      <w:r>
        <w:t>* Confrontare il tempo medio in cui la merce rimane in magazzino nel corso degli anni può rivelare se l'aumento del magazzino è dovuto a un rallentamento delle vendite.</w:t>
      </w:r>
    </w:p>
    <w:p w14:paraId="48BC6A1D" w14:textId="77777777" w:rsidR="00563D1A" w:rsidRDefault="00563D1A" w:rsidP="00563D1A">
      <w:pPr>
        <w:jc w:val="both"/>
      </w:pPr>
      <w:r>
        <w:t xml:space="preserve">2. **Confronto con le tendenze del </w:t>
      </w:r>
      <w:proofErr w:type="gramStart"/>
      <w:r>
        <w:t>settore:*</w:t>
      </w:r>
      <w:proofErr w:type="gramEnd"/>
      <w:r>
        <w:t>* Analizzando i trend dell'industria e confrontando la variazione del magazzino dell'azienda con quella di aziende simili, si può determinare se la variazione è in linea con il settore o se è anomala.</w:t>
      </w:r>
    </w:p>
    <w:p w14:paraId="7F3FB0D9" w14:textId="77777777" w:rsidR="00563D1A" w:rsidRDefault="00563D1A" w:rsidP="00563D1A">
      <w:pPr>
        <w:jc w:val="both"/>
      </w:pPr>
    </w:p>
    <w:p w14:paraId="49707EA0" w14:textId="24F78320" w:rsidR="00563D1A" w:rsidRDefault="00563D1A" w:rsidP="00563D1A">
      <w:pPr>
        <w:jc w:val="both"/>
      </w:pPr>
      <w:r>
        <w:lastRenderedPageBreak/>
        <w:t>3. **Interviste e domande all'azienda:</w:t>
      </w:r>
      <w:r w:rsidR="00747989">
        <w:t xml:space="preserve"> </w:t>
      </w:r>
      <w:r>
        <w:t>Se possibile, fare domande dirette alla direzione dell'azienda può aiutare a comprendere la logica dietro l'aumento del magazzino.</w:t>
      </w:r>
    </w:p>
    <w:p w14:paraId="35240480" w14:textId="2776E7D1" w:rsidR="00E94BE7" w:rsidRDefault="00563D1A" w:rsidP="00563D1A">
      <w:pPr>
        <w:jc w:val="both"/>
      </w:pPr>
      <w:r>
        <w:t>In conclusione, mentre la variazione del magazzino può avere ragioni legittime, è essenziale approfondire la questione, usando una combinazione di tecniche di analisi quantitative e qualitative, per garantire una comprensione accurata della situazione finanziaria dell'azienda.</w:t>
      </w:r>
    </w:p>
    <w:p w14:paraId="1B147508" w14:textId="26059239" w:rsidR="00F119F4" w:rsidRDefault="00F119F4" w:rsidP="00563D1A">
      <w:pPr>
        <w:jc w:val="both"/>
      </w:pPr>
      <w:r>
        <w:t>In sintesi, la variazione del magazzino è come un enigma, composto da pezzi sparsi tra numeri e strategie. L'arte dell'analista sta nel mettere insieme questi pezzi per comprendere la vera immagine finanziaria e strategica dell'azienda, andando oltre la semplice superficie.</w:t>
      </w:r>
    </w:p>
    <w:p w14:paraId="6ED45BB6" w14:textId="77777777" w:rsidR="00747989" w:rsidRDefault="00747989" w:rsidP="00747989">
      <w:pPr>
        <w:jc w:val="both"/>
      </w:pPr>
    </w:p>
    <w:p w14:paraId="20AD8322" w14:textId="77777777" w:rsidR="00747989" w:rsidRDefault="00747989" w:rsidP="00747989">
      <w:pPr>
        <w:jc w:val="both"/>
      </w:pPr>
    </w:p>
    <w:p w14:paraId="1E6A40A3" w14:textId="63CF3EEA" w:rsidR="00747989" w:rsidRDefault="00747989" w:rsidP="00747989">
      <w:pPr>
        <w:jc w:val="both"/>
      </w:pPr>
      <w:r>
        <w:t xml:space="preserve">### Limiti Informativi del Conto Economico secondo il </w:t>
      </w:r>
      <w:proofErr w:type="gramStart"/>
      <w:r>
        <w:t>Codice Civile</w:t>
      </w:r>
      <w:proofErr w:type="gramEnd"/>
    </w:p>
    <w:p w14:paraId="11C4A1CA" w14:textId="77777777" w:rsidR="00747989" w:rsidRDefault="00747989" w:rsidP="00747989">
      <w:pPr>
        <w:jc w:val="both"/>
      </w:pPr>
      <w:r>
        <w:t xml:space="preserve">Il conto economico, come delineato dal </w:t>
      </w:r>
      <w:proofErr w:type="gramStart"/>
      <w:r>
        <w:t>Codice Civile</w:t>
      </w:r>
      <w:proofErr w:type="gramEnd"/>
      <w:r>
        <w:t xml:space="preserve">, pur essendo uno strumento essenziale per analizzare la performance aziendale, presenta alcune limitazioni informative che possono ostacolare un'analisi approfondita. Tra le voci più problematiche in termini di chiarezza e specificità, troviamo "Costi per servizi" e "Oneri diversi di gestione". Queste categorie sono notevolmente generiche e possono comprendere una vasta gamma di costi e oneri, rendendo difficile per gli analisti discernere la natura e la composizione effettive di tali voci. Questa mancanza di dettaglio e trasparenza può ostacolare una comprensione completa delle strutture di costo dell'azienda e dei fattori che influenzano la sua redditività. </w:t>
      </w:r>
    </w:p>
    <w:p w14:paraId="17BC8BE4" w14:textId="77777777" w:rsidR="00747989" w:rsidRDefault="00747989" w:rsidP="00747989">
      <w:pPr>
        <w:jc w:val="both"/>
      </w:pPr>
      <w:r>
        <w:t xml:space="preserve">Inoltre, il formato tradizionale del conto economico secondo il </w:t>
      </w:r>
      <w:proofErr w:type="gramStart"/>
      <w:r>
        <w:t>Codice Civile</w:t>
      </w:r>
      <w:proofErr w:type="gramEnd"/>
      <w:r>
        <w:t xml:space="preserve"> non distingue adeguatamente tra gestione ordinaria e straordinaria. Ciò può portare a una commistione di voci che riflettono le operazioni di routine dell'azienda con quelle che derivano da eventi non ricorrenti o eccezionali. Questa fusione può offuscare la visione della performance operativa effettiva dell'azienda.</w:t>
      </w:r>
    </w:p>
    <w:p w14:paraId="7B1746DE" w14:textId="629E5426" w:rsidR="00747989" w:rsidRDefault="00747989" w:rsidP="00747989">
      <w:pPr>
        <w:jc w:val="both"/>
      </w:pPr>
      <w:r>
        <w:t xml:space="preserve">Infine, la mancanza di distinzioni chiare tra costi fissi e variabili nel conto economico rende </w:t>
      </w:r>
      <w:r>
        <w:t>pressoché</w:t>
      </w:r>
      <w:r>
        <w:t xml:space="preserve"> </w:t>
      </w:r>
      <w:r>
        <w:t xml:space="preserve">impossibile </w:t>
      </w:r>
      <w:r>
        <w:t xml:space="preserve">condurre analisi come il Break </w:t>
      </w:r>
      <w:proofErr w:type="spellStart"/>
      <w:r>
        <w:t>Even</w:t>
      </w:r>
      <w:proofErr w:type="spellEnd"/>
      <w:r>
        <w:t>. Senza questa discriminazione, determinare il punto in cui i ricavi coprono esattamente i costi diventa una questione di supposizione piuttosto che di calcolo preciso, limitando la precisione e l'utilità dell'analisi.</w:t>
      </w:r>
    </w:p>
    <w:p w14:paraId="39CA3E8B" w14:textId="342DD3B1" w:rsidR="00747989" w:rsidRDefault="00747989" w:rsidP="008B5BDE">
      <w:pPr>
        <w:jc w:val="both"/>
      </w:pPr>
    </w:p>
    <w:p w14:paraId="6519F72D" w14:textId="77777777" w:rsidR="00747989" w:rsidRDefault="00747989" w:rsidP="008B5BDE">
      <w:pPr>
        <w:jc w:val="both"/>
      </w:pPr>
    </w:p>
    <w:p w14:paraId="303821D5" w14:textId="77777777" w:rsidR="00747989" w:rsidRDefault="00747989" w:rsidP="008B5BDE">
      <w:pPr>
        <w:jc w:val="both"/>
      </w:pPr>
    </w:p>
    <w:p w14:paraId="0BAC6885" w14:textId="77777777" w:rsidR="00747989" w:rsidRDefault="00747989" w:rsidP="008B5BDE">
      <w:pPr>
        <w:jc w:val="both"/>
      </w:pPr>
    </w:p>
    <w:p w14:paraId="4DF2DC0B" w14:textId="7476C690" w:rsidR="008B5BDE" w:rsidRDefault="008B5BDE" w:rsidP="008B5BDE">
      <w:pPr>
        <w:jc w:val="both"/>
      </w:pPr>
      <w:r>
        <w:t>Dai Ricavi alla Narrativa Aziendale: Decifrare i Numeri con Mattavelli</w:t>
      </w:r>
    </w:p>
    <w:p w14:paraId="396E8D89" w14:textId="77777777" w:rsidR="008B5BDE" w:rsidRDefault="008B5BDE" w:rsidP="008B5BDE">
      <w:pPr>
        <w:jc w:val="both"/>
      </w:pPr>
      <w:r>
        <w:t>Ricavi: Oltre la Semplice Entrata</w:t>
      </w:r>
    </w:p>
    <w:p w14:paraId="54DD9557" w14:textId="77777777" w:rsidR="008B5BDE" w:rsidRDefault="008B5BDE" w:rsidP="008B5BDE">
      <w:pPr>
        <w:jc w:val="both"/>
      </w:pPr>
      <w:r>
        <w:t>Nella visione di Mattavelli, i ricavi non sono una mera rappresentazione contabile, ma piuttosto la chiave per decodificare la narrativa di un'azienda. Sono il primo indizio della storia di un'azienda - di come interagisce con il suo mercato, risponde alle sfide e coglie le opportunità.</w:t>
      </w:r>
    </w:p>
    <w:p w14:paraId="0E6D651E" w14:textId="77777777" w:rsidR="00747989" w:rsidRDefault="00747989" w:rsidP="008B5BDE">
      <w:pPr>
        <w:jc w:val="both"/>
      </w:pPr>
    </w:p>
    <w:p w14:paraId="323A782B" w14:textId="2B87A90F" w:rsidR="008B5BDE" w:rsidRDefault="008B5BDE" w:rsidP="008B5BDE">
      <w:pPr>
        <w:jc w:val="both"/>
      </w:pPr>
      <w:r>
        <w:t>Il Linguaggio Dei Ricavi</w:t>
      </w:r>
    </w:p>
    <w:p w14:paraId="70ABF892" w14:textId="10BCA22F" w:rsidR="008B5BDE" w:rsidRDefault="008B5BDE" w:rsidP="008B5BDE">
      <w:pPr>
        <w:jc w:val="both"/>
      </w:pPr>
      <w:r>
        <w:lastRenderedPageBreak/>
        <w:t>Per "far parlare i numeri", è essenziale guardare oltre la cifra totale dei ricavi e analizzare la sua composizione. Dove si concentra la maggior parte delle vendite? Ci sono fluttuazioni stagionali o variazioni legate a particolari eventi? La risposta a queste domande può svelare la strategia di marketing dell'azienda, la sua capacità di adattarsi alle tendenze del mercato e la sua resilienza di fronte alle sfide.</w:t>
      </w:r>
    </w:p>
    <w:p w14:paraId="18655B5C" w14:textId="77777777" w:rsidR="008B5BDE" w:rsidRDefault="008B5BDE" w:rsidP="008B5BDE">
      <w:pPr>
        <w:jc w:val="both"/>
      </w:pPr>
      <w:r>
        <w:t>Ricavi come Spia della Strategia Aziendale</w:t>
      </w:r>
    </w:p>
    <w:p w14:paraId="036EA0F5" w14:textId="591B8B52" w:rsidR="008B5BDE" w:rsidRDefault="008B5BDE" w:rsidP="008B5BDE">
      <w:pPr>
        <w:jc w:val="both"/>
      </w:pPr>
      <w:r>
        <w:t xml:space="preserve">Partiamo col </w:t>
      </w:r>
    </w:p>
    <w:p w14:paraId="462183E3" w14:textId="77777777" w:rsidR="008B5BDE" w:rsidRDefault="008B5BDE" w:rsidP="008B5BDE">
      <w:pPr>
        <w:jc w:val="both"/>
      </w:pPr>
      <w:r>
        <w:t>Se l'analisi patrimoniale ci dà una fotografia statica dell'azienda, i ricavi ci offrono un film dell'anno in corso. La crescita, la stazionarietà o il declino dei ricavi sono spesso il risultato diretto delle scelte strategiche fatte dalla direzione. Attraverso l'analisi dei ricavi, possiamo avere una visione chiara della direzione in cui l'azienda si sta muovendo e delle sue priorità.</w:t>
      </w:r>
    </w:p>
    <w:p w14:paraId="79F7B011" w14:textId="77777777" w:rsidR="008B5BDE" w:rsidRDefault="008B5BDE" w:rsidP="008B5BDE">
      <w:pPr>
        <w:jc w:val="both"/>
      </w:pPr>
      <w:r>
        <w:t>Narrativa e Sostenibilità dei Ricavi</w:t>
      </w:r>
    </w:p>
    <w:p w14:paraId="2E03D1A5" w14:textId="77777777" w:rsidR="008B5BDE" w:rsidRDefault="008B5BDE" w:rsidP="008B5BDE">
      <w:pPr>
        <w:jc w:val="both"/>
      </w:pPr>
      <w:r>
        <w:t>Nel tentativo di "far parlare i numeri", è fondamentale anche valutare la sostenibilità dei ricavi. Un aumento dei ricavi derivante da operazioni non ripetibili o circostanze straordinarie potrebbe non essere sostenibile nel lungo termine. D'altro canto, ricavi stabili e in crescita, frutto di una solida base di clienti fedeli, sono un segnale di una strategia aziendale ben radicata.</w:t>
      </w:r>
    </w:p>
    <w:p w14:paraId="3C30CD60" w14:textId="6C6270AA" w:rsidR="008B5BDE" w:rsidRDefault="008B5BDE" w:rsidP="008B5BDE">
      <w:pPr>
        <w:jc w:val="both"/>
      </w:pPr>
      <w:r>
        <w:t>In sintesi, con l'approccio di Mattavelli, l'analisi dei ricavi diventa una vera e propria indagine investigativa. Il conto economico cessa di essere una serie di numeri astratti e diventa una fonte di informazioni preziose sulla storia, la strategia e la direzione futura dell'azienda.</w:t>
      </w:r>
    </w:p>
    <w:sectPr w:rsidR="008B5B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CA"/>
    <w:rsid w:val="0009543C"/>
    <w:rsid w:val="00162879"/>
    <w:rsid w:val="004161CA"/>
    <w:rsid w:val="00462061"/>
    <w:rsid w:val="00563D1A"/>
    <w:rsid w:val="00747989"/>
    <w:rsid w:val="008750EC"/>
    <w:rsid w:val="008B5BDE"/>
    <w:rsid w:val="009B139F"/>
    <w:rsid w:val="00AE2D01"/>
    <w:rsid w:val="00E935B6"/>
    <w:rsid w:val="00E94BE7"/>
    <w:rsid w:val="00F119F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5EFD"/>
  <w15:chartTrackingRefBased/>
  <w15:docId w15:val="{7C3845E3-EE8F-4651-866D-D9E3C7CE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16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416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161C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161C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161C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161C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61C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61C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61C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61C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4161C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161C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161C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161C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161C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61C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61C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61CA"/>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6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61C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61C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61C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61C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61CA"/>
    <w:rPr>
      <w:i/>
      <w:iCs/>
      <w:color w:val="404040" w:themeColor="text1" w:themeTint="BF"/>
    </w:rPr>
  </w:style>
  <w:style w:type="paragraph" w:styleId="Paragrafoelenco">
    <w:name w:val="List Paragraph"/>
    <w:basedOn w:val="Normale"/>
    <w:uiPriority w:val="34"/>
    <w:qFormat/>
    <w:rsid w:val="004161CA"/>
    <w:pPr>
      <w:ind w:left="720"/>
      <w:contextualSpacing/>
    </w:pPr>
  </w:style>
  <w:style w:type="character" w:styleId="Enfasiintensa">
    <w:name w:val="Intense Emphasis"/>
    <w:basedOn w:val="Carpredefinitoparagrafo"/>
    <w:uiPriority w:val="21"/>
    <w:qFormat/>
    <w:rsid w:val="004161CA"/>
    <w:rPr>
      <w:i/>
      <w:iCs/>
      <w:color w:val="0F4761" w:themeColor="accent1" w:themeShade="BF"/>
    </w:rPr>
  </w:style>
  <w:style w:type="paragraph" w:styleId="Citazioneintensa">
    <w:name w:val="Intense Quote"/>
    <w:basedOn w:val="Normale"/>
    <w:next w:val="Normale"/>
    <w:link w:val="CitazioneintensaCarattere"/>
    <w:uiPriority w:val="30"/>
    <w:qFormat/>
    <w:rsid w:val="00416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161CA"/>
    <w:rPr>
      <w:i/>
      <w:iCs/>
      <w:color w:val="0F4761" w:themeColor="accent1" w:themeShade="BF"/>
    </w:rPr>
  </w:style>
  <w:style w:type="character" w:styleId="Riferimentointenso">
    <w:name w:val="Intense Reference"/>
    <w:basedOn w:val="Carpredefinitoparagrafo"/>
    <w:uiPriority w:val="32"/>
    <w:qFormat/>
    <w:rsid w:val="00416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932920">
      <w:bodyDiv w:val="1"/>
      <w:marLeft w:val="0"/>
      <w:marRight w:val="0"/>
      <w:marTop w:val="0"/>
      <w:marBottom w:val="0"/>
      <w:divBdr>
        <w:top w:val="none" w:sz="0" w:space="0" w:color="auto"/>
        <w:left w:val="none" w:sz="0" w:space="0" w:color="auto"/>
        <w:bottom w:val="none" w:sz="0" w:space="0" w:color="auto"/>
        <w:right w:val="none" w:sz="0" w:space="0" w:color="auto"/>
      </w:divBdr>
    </w:div>
    <w:div w:id="1176649188">
      <w:bodyDiv w:val="1"/>
      <w:marLeft w:val="0"/>
      <w:marRight w:val="0"/>
      <w:marTop w:val="0"/>
      <w:marBottom w:val="0"/>
      <w:divBdr>
        <w:top w:val="none" w:sz="0" w:space="0" w:color="auto"/>
        <w:left w:val="none" w:sz="0" w:space="0" w:color="auto"/>
        <w:bottom w:val="none" w:sz="0" w:space="0" w:color="auto"/>
        <w:right w:val="none" w:sz="0" w:space="0" w:color="auto"/>
      </w:divBdr>
      <w:divsChild>
        <w:div w:id="1855800370">
          <w:marLeft w:val="0"/>
          <w:marRight w:val="0"/>
          <w:marTop w:val="0"/>
          <w:marBottom w:val="0"/>
          <w:divBdr>
            <w:top w:val="none" w:sz="0" w:space="0" w:color="auto"/>
            <w:left w:val="none" w:sz="0" w:space="0" w:color="auto"/>
            <w:bottom w:val="none" w:sz="0" w:space="0" w:color="auto"/>
            <w:right w:val="none" w:sz="0" w:space="0" w:color="auto"/>
          </w:divBdr>
          <w:divsChild>
            <w:div w:id="1051461872">
              <w:marLeft w:val="0"/>
              <w:marRight w:val="0"/>
              <w:marTop w:val="0"/>
              <w:marBottom w:val="0"/>
              <w:divBdr>
                <w:top w:val="none" w:sz="0" w:space="0" w:color="auto"/>
                <w:left w:val="none" w:sz="0" w:space="0" w:color="auto"/>
                <w:bottom w:val="none" w:sz="0" w:space="0" w:color="auto"/>
                <w:right w:val="none" w:sz="0" w:space="0" w:color="auto"/>
              </w:divBdr>
              <w:divsChild>
                <w:div w:id="3854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E5067B-C6B0-42A2-9FEF-CB5F4DA5751E}">
  <we:reference id="wa200005287" version="1.0.0.3" store="it-IT" storeType="OMEX"/>
  <we:alternateReferences>
    <we:reference id="wa200005287" version="1.0.0.3" store="wa20000528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0C49DB-A013-44EE-99D8-99E38C5616E5}"/>
</file>

<file path=customXml/itemProps2.xml><?xml version="1.0" encoding="utf-8"?>
<ds:datastoreItem xmlns:ds="http://schemas.openxmlformats.org/officeDocument/2006/customXml" ds:itemID="{9B172BB3-E083-4934-8BBD-FC3B071C4DD8}"/>
</file>

<file path=customXml/itemProps3.xml><?xml version="1.0" encoding="utf-8"?>
<ds:datastoreItem xmlns:ds="http://schemas.openxmlformats.org/officeDocument/2006/customXml" ds:itemID="{309BBDBA-8BCF-4A62-A5EE-FC8FE3854A21}"/>
</file>

<file path=docProps/app.xml><?xml version="1.0" encoding="utf-8"?>
<Properties xmlns="http://schemas.openxmlformats.org/officeDocument/2006/extended-properties" xmlns:vt="http://schemas.openxmlformats.org/officeDocument/2006/docPropsVTypes">
  <Template>Normal</Template>
  <TotalTime>823</TotalTime>
  <Pages>4</Pages>
  <Words>1441</Words>
  <Characters>8214</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2023-09-26T08:12:00Z</dcterms:created>
  <dcterms:modified xsi:type="dcterms:W3CDTF">2023-09-27T12:09:00Z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