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aps/>
          <w:color w:val="1F497D"/>
          <w:sz w:val="18"/>
        </w:rPr>
        <w:t>RATIO  •  Approfondimenti per Professionisti e Imprese</w:t>
      </w:r>
    </w:p>
    <w:p>
      <w:pPr>
        <w:spacing w:after="40" w:before="40"/>
        <w:pBdr>
          <w:bottom w:val="single" w:sz="6" w:space="1" w:color="1F497D"/>
        </w:pBdr>
      </w:pPr>
    </w:p>
    <w:p>
      <w:pPr>
        <w:jc w:val="right"/>
      </w:pPr>
      <w:r>
        <w:rPr>
          <w:rFonts w:ascii="Calibri" w:hAnsi="Calibri"/>
          <w:i/>
          <w:color w:val="606060"/>
          <w:sz w:val="17"/>
        </w:rPr>
        <w:t>Maggio 2026  |  Strumenti e Modelli AI</w:t>
      </w:r>
    </w:p>
    <w:p/>
    <w:p>
      <w:pPr>
        <w:spacing w:after="120"/>
        <w:jc w:val="left"/>
      </w:pPr>
      <w:r>
        <w:rPr>
          <w:rFonts w:ascii="Calibri" w:hAnsi="Calibri"/>
          <w:b/>
          <w:color w:val="1F497D"/>
          <w:sz w:val="48"/>
        </w:rPr>
        <w:t>Dieci agenti per chiudere i libri:</w:t>
        <w:br/>
        <w:t>cosa fa Claude quando lavora in finanza</w:t>
      </w:r>
    </w:p>
    <w:p>
      <w:pPr>
        <w:spacing w:after="200"/>
        <w:jc w:val="left"/>
      </w:pPr>
      <w:r>
        <w:rPr>
          <w:rFonts w:ascii="Calibri" w:hAnsi="Calibri"/>
          <w:i/>
          <w:color w:val="2E74B5"/>
          <w:sz w:val="26"/>
        </w:rPr>
        <w:t>Anthropic ha rilasciato dieci agenti AI specializzati per KYC, chiusura mensile e valutazione d'azienda. Per studi e uffici contabili, la domanda non è se usarli ma chi nel team capisce abbastanza da sapere quando smettere di fidarsi.</w:t>
      </w:r>
    </w:p>
    <w:p>
      <w:pPr>
        <w:spacing w:after="40" w:before="40"/>
        <w:pBdr>
          <w:bottom w:val="single" w:sz="6" w:space="1" w:color="1F497D"/>
        </w:pBdr>
      </w:pPr>
    </w:p>
    <w:p>
      <w:pPr>
        <w:spacing w:after="320"/>
        <w:jc w:val="left"/>
      </w:pPr>
      <w:r>
        <w:rPr>
          <w:rFonts w:ascii="Calibri" w:hAnsi="Calibri"/>
          <w:color w:val="808080"/>
          <w:sz w:val="18"/>
        </w:rPr>
        <w:t>A cura della Redazione Ratio  •  8 maggio 2026</w:t>
      </w:r>
    </w:p>
    <w:p>
      <w:pPr>
        <w:spacing w:after="160" w:line="320" w:lineRule="exact"/>
        <w:jc w:val="both"/>
      </w:pPr>
      <w:r>
        <w:rPr>
          <w:rFonts w:ascii="Calibri" w:hAnsi="Calibri"/>
          <w:sz w:val="22"/>
        </w:rPr>
        <w:t>Se gestisci la contabilità di un'azienda o lavori in uno studio che affianca PMI nella redazione dei bilanci, c'è una fase del mese che conosci bene: la chiusura. Riconciliazioni di conti, verifica delle competenze, quadratura tra mastro e situazione bancaria, predisposizione delle scritture di assestamento. Sono ore di lavoro ripetitivo, ad alta concentrazione, con un margine di errore che non si può concedere. Il 5 maggio 2026 Anthropic ha annunciato dieci agenti precostituiti per il settore finanziario integrati in Claude, ognuno pensato per una fase specifica di questo tipo di lavoro.</w:t>
      </w:r>
    </w:p>
    <w:p>
      <w:pPr>
        <w:spacing w:after="160" w:line="320" w:lineRule="exact"/>
        <w:jc w:val="both"/>
      </w:pPr>
      <w:r>
        <w:rPr>
          <w:rFonts w:ascii="Calibri" w:hAnsi="Calibri"/>
          <w:sz w:val="22"/>
        </w:rPr>
        <w:t>Il lancio è avvenuto in contemporanea con altri due annunci: l'integrazione completa con Microsoft 365 e una partnership con Moody's per i dati di mercato. Tre mosse che disegnano una direzione precisa: Claude non vuole essere il chatbot che risponde alle domande, ma lo strumento che porta a termine compiti finanziari strutturati, dentro l'ambiente di lavoro già in uso.</w:t>
      </w:r>
    </w:p>
    <w:p>
      <w:pPr>
        <w:spacing w:before="280" w:after="120"/>
      </w:pPr>
      <w:r>
        <w:rPr>
          <w:rFonts w:ascii="Calibri" w:hAnsi="Calibri"/>
          <w:b/>
          <w:color w:val="1F497D"/>
          <w:sz w:val="24"/>
        </w:rPr>
        <w:t>La differenza tra un chatbot e un agente</w:t>
      </w:r>
    </w:p>
    <w:p>
      <w:pPr>
        <w:spacing w:after="160" w:line="320" w:lineRule="exact"/>
        <w:jc w:val="both"/>
      </w:pPr>
      <w:r>
        <w:rPr>
          <w:rFonts w:ascii="Calibri" w:hAnsi="Calibri"/>
          <w:sz w:val="22"/>
        </w:rPr>
        <w:t>Gli agenti non sono chatbot. Un agente AI è un sistema che, a partire da un obiettivo, pianifica una sequenza di azioni, usa strumenti come documenti, database e API, verifica i risultati e produce un output strutturato. Non risponde a domande: porta a termine un compito. Questa distinzione, che sembra tecnica, ha conseguenze molto pratiche per chi li usa in un contesto professionale.</w:t>
      </w:r>
    </w:p>
    <w:p>
      <w:pPr>
        <w:spacing w:after="160" w:line="320" w:lineRule="exact"/>
        <w:jc w:val="both"/>
      </w:pPr>
      <w:r>
        <w:rPr>
          <w:rFonts w:ascii="Calibri" w:hAnsi="Calibri"/>
          <w:sz w:val="22"/>
        </w:rPr>
        <w:t>L'agente "month-end closer" di Claude esegue la checklist di chiusura mensile, prepara le scritture di assestamento e produce il report di chiusura. Il "general ledger reconciler" riconcilia i conti del mastro, calcola il valore netto di portafoglio e lo confronta con i libri contabili. Il "statement auditor" verifica la coerenza e la completezza dei prospetti finanziari in vista della revisione. Tre agenti, tre fasi della vita di uno studio o di un ufficio contabile. Gli altri sette coprono il KYC e la compliance antiriciclaggio, la valutazione aziendale con comparables di mercato, la costruzione di modelli finanziari di proiezione, la preparazione di pitchbook, l'analisi di mercato e la sintesi di documenti per riunioni e negoziazioni.</w:t>
      </w:r>
    </w:p>
    <w:p>
      <w:pPr>
        <w:spacing w:before="280" w:after="120"/>
      </w:pPr>
      <w:r>
        <w:rPr>
          <w:rFonts w:ascii="Calibri" w:hAnsi="Calibri"/>
          <w:b/>
          <w:color w:val="1F497D"/>
          <w:sz w:val="24"/>
        </w:rPr>
        <w:t>Cosa cambia per uno studio commercialista</w:t>
      </w:r>
    </w:p>
    <w:p>
      <w:pPr>
        <w:spacing w:after="160" w:line="320" w:lineRule="exact"/>
        <w:jc w:val="both"/>
      </w:pPr>
      <w:r>
        <w:rPr>
          <w:rFonts w:ascii="Calibri" w:hAnsi="Calibri"/>
          <w:sz w:val="22"/>
        </w:rPr>
        <w:t>Per uno studio che affianca PMI italiane, l'impatto più immediato riguarda la chiusura mensile e la riconciliazione. Non perché questi agenti sostituiscano il lavoro di un collaboratore, ma perché possono eseguire la prima passata in modo più veloce e documentato di quanto faccia un operatore sotto pressione di fine mese. Il tempo risparmiato nella fase meccanica si può investire nella fase critica: capire perché il conto non quadra, non cercare dove non quadra.</w:t>
      </w:r>
    </w:p>
    <w:p>
      <w:pPr>
        <w:spacing w:after="160" w:line="320" w:lineRule="exact"/>
        <w:jc w:val="both"/>
      </w:pPr>
      <w:r>
        <w:rPr>
          <w:rFonts w:ascii="Calibri" w:hAnsi="Calibri"/>
          <w:sz w:val="22"/>
        </w:rPr>
        <w:t>L'integrazione con Microsoft 365 abbatte una barriera concreta che aveva frenato l'adozione di strumenti AI in molti studi. Claude può ora lavorare direttamente sui file Word, Excel e Outlook senza uscire dall'ambiente di lavoro. Per uno studio che usa già Microsoft 365 come infrastruttura, questo significa che non serve caricare file in piattaforme esterne, non serve copiare e incollare tra finestre diverse. Il flusso di lavoro rimane nell'ambiente conosciuto, con un agente che esegue la parte ripetitiva al suo interno.</w:t>
      </w:r>
    </w:p>
    <w:p>
      <w:pPr>
        <w:spacing w:after="160" w:line="320" w:lineRule="exact"/>
        <w:jc w:val="both"/>
      </w:pPr>
      <w:r>
        <w:rPr>
          <w:rFonts w:ascii="Calibri" w:hAnsi="Calibri"/>
          <w:sz w:val="22"/>
        </w:rPr>
        <w:t>La partnership con Moody's aggiunge un livello di profondità rilevante per chi si occupa di valutazioni aziendali o di analisi del merito creditizio. L'agente "valuation reviewer" può confrontare una valutazione interna con multipli di mercato aggiornati in tempo reale, segnalare scostamenti significativi e documentare il ragionamento alla base del giudizio. Per uno studio che prepara perizie di stima o supporta operazioni di M&amp;A, questa integrazione è concreta.</w:t>
      </w:r>
    </w:p>
    <w:p>
      <w:pPr>
        <w:spacing w:before="280" w:after="120"/>
      </w:pPr>
      <w:r>
        <w:rPr>
          <w:rFonts w:ascii="Calibri" w:hAnsi="Calibri"/>
          <w:b/>
          <w:color w:val="1F497D"/>
          <w:sz w:val="24"/>
        </w:rPr>
        <w:t>Il nodo della governance</w:t>
      </w:r>
    </w:p>
    <w:p>
      <w:pPr>
        <w:spacing w:after="160" w:line="320" w:lineRule="exact"/>
        <w:jc w:val="both"/>
      </w:pPr>
      <w:r>
        <w:rPr>
          <w:rFonts w:ascii="Calibri" w:hAnsi="Calibri"/>
          <w:sz w:val="22"/>
        </w:rPr>
        <w:t>Il punto che nessun lancio commerciale risolve è quello della governance. Chi verifica che l'agente abbia eseguito correttamente la riconciliazione? Come si traccia il processo per dimostrare, in sede di revisione o di verifica fiscale, che la chiusura è stata fatta correttamente? I sistemi di audit trail degli agenti di Anthropic registrano le azioni eseguite, ma la responsabilità di conservare quella documentazione e di interpretarla resta nell'organizzazione che usa lo strumento. La Legge 132/2025 è chiara su questo: la firma sul documento finale resta in capo al professionista.</w:t>
      </w:r>
    </w:p>
    <w:p>
      <w:pPr>
        <w:spacing w:after="160" w:line="320" w:lineRule="exact"/>
        <w:jc w:val="both"/>
      </w:pPr>
      <w:r>
        <w:rPr>
          <w:rFonts w:ascii="Calibri" w:hAnsi="Calibri"/>
          <w:sz w:val="22"/>
        </w:rPr>
        <w:t>Per le aziende italiane che faticano a trovare collaboratori con competenze contabili sufficienti a gestire la chiusura mensile in modo autonomo, avere un agente che esegue la prima passata non è un'opzione teorica: è una risposta concreta a un problema di capacità. Ma funziona solo se c'è qualcuno in grado di interpretare i risultati dell'agente, di capire quando l'output è sospetto e di prendere la decisione finale. Dieci agenti per la finanza non cambiano la struttura del lavoro: cambiano la proporzione di tempo che si passa a fare cose che si potrebbero non fare a mano.</w:t>
      </w:r>
    </w:p>
    <w:p>
      <w:pPr>
        <w:spacing w:before="280" w:after="120"/>
      </w:pPr>
      <w:r>
        <w:rPr>
          <w:rFonts w:ascii="Calibri" w:hAnsi="Calibri"/>
          <w:b/>
          <w:color w:val="1F497D"/>
          <w:sz w:val="24"/>
        </w:rPr>
        <w:t>Chi deve capire come funziona</w:t>
      </w:r>
    </w:p>
    <w:p>
      <w:pPr>
        <w:spacing w:after="160" w:line="320" w:lineRule="exact"/>
        <w:jc w:val="both"/>
      </w:pPr>
      <w:r>
        <w:rPr>
          <w:rFonts w:ascii="Calibri" w:hAnsi="Calibri"/>
          <w:sz w:val="22"/>
        </w:rPr>
        <w:t>La domanda da farsi, prima di configurare uno qualsiasi di questi agenti, non è "questo strumento fa quello che mi serve?" ma "chi nel mio team capisce abbastanza la logica dell'agente da sapere quando smettere di fidarsi?" Un agente che esegue la chiusura mensile seguendo una checklist predefinita funziona bene finché la situazione è standard. Quando c'è un'operazione fuori schema, una scrittura di rettifica non prevista, un conto con movimentazione anomala, l'agente segue la regola che gli è stata data. Il professionista deve sapere che in quel caso la regola non basta.</w:t>
      </w:r>
    </w:p>
    <w:p>
      <w:pPr>
        <w:spacing w:after="40" w:before="40"/>
        <w:pBdr>
          <w:bottom w:val="single" w:sz="6" w:space="1" w:color="1F497D"/>
        </w:pBdr>
      </w:pPr>
    </w:p>
    <w:p>
      <w:pPr>
        <w:spacing w:before="200"/>
      </w:pPr>
      <w:r>
        <w:rPr>
          <w:rFonts w:ascii="Calibri" w:hAnsi="Calibri"/>
          <w:b/>
          <w:color w:val="606060"/>
          <w:sz w:val="18"/>
        </w:rPr>
        <w:t>Riferimenti</w:t>
      </w:r>
    </w:p>
    <w:p>
      <w:pPr>
        <w:spacing w:after="40"/>
      </w:pPr>
      <w:r>
        <w:rPr>
          <w:rFonts w:ascii="Calibri" w:hAnsi="Calibri"/>
          <w:color w:val="606060"/>
          <w:sz w:val="17"/>
        </w:rPr>
        <w:t>• Anthropic — "Agents for financial services", anthropic.com/news/finance-agents (5 maggio 2026)</w:t>
      </w:r>
    </w:p>
    <w:p>
      <w:pPr>
        <w:spacing w:after="40"/>
      </w:pPr>
      <w:r>
        <w:rPr>
          <w:rFonts w:ascii="Calibri" w:hAnsi="Calibri"/>
          <w:color w:val="606060"/>
          <w:sz w:val="17"/>
        </w:rPr>
        <w:t>• The Register — "Anthropic unleashes finance agents for Claude" (5 maggio 2026)</w:t>
      </w:r>
    </w:p>
    <w:p>
      <w:pPr>
        <w:spacing w:after="40"/>
      </w:pPr>
      <w:r>
        <w:rPr>
          <w:rFonts w:ascii="Calibri" w:hAnsi="Calibri"/>
          <w:color w:val="606060"/>
          <w:sz w:val="17"/>
        </w:rPr>
        <w:t>• Fortune — "Anthropic deepens push into Wall Street with new AI agents" (5 maggio 2026)</w:t>
      </w:r>
    </w:p>
    <w:p>
      <w:pPr>
        <w:spacing w:after="40"/>
      </w:pPr>
      <w:r>
        <w:rPr>
          <w:rFonts w:ascii="Calibri" w:hAnsi="Calibri"/>
          <w:color w:val="606060"/>
          <w:sz w:val="17"/>
        </w:rPr>
        <w:t>• Winbuzzer — "Anthropic Expands Claude With 10 Finance Workflow Agents" (6 maggio 2026)</w:t>
      </w:r>
    </w:p>
    <w:p>
      <w:pPr>
        <w:spacing w:after="40"/>
      </w:pPr>
      <w:r>
        <w:rPr>
          <w:rFonts w:ascii="Calibri" w:hAnsi="Calibri"/>
          <w:color w:val="606060"/>
          <w:sz w:val="17"/>
        </w:rPr>
        <w:t>• Legge 132/2025 — Disciplina organica sull'intelligenza artificiale in Italia</w:t>
      </w:r>
    </w:p>
    <w:p>
      <w:pPr>
        <w:spacing w:before="320"/>
        <w:jc w:val="center"/>
      </w:pPr>
      <w:r>
        <w:rPr>
          <w:rFonts w:ascii="Calibri" w:hAnsi="Calibri"/>
          <w:i/>
          <w:color w:val="A0A0A0"/>
          <w:sz w:val="16"/>
        </w:rPr>
        <w:t>© 2026 Mattavelli Amodeo — Commercialisti Associati  •  Riproduzione consentita con citazione della fonte</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