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Responsabilità e Gestione del Rischio</w:t>
      </w:r>
    </w:p>
    <w:p/>
    <w:p>
      <w:pPr>
        <w:spacing w:after="120"/>
        <w:jc w:val="left"/>
      </w:pPr>
      <w:r>
        <w:rPr>
          <w:rFonts w:ascii="Calibri" w:hAnsi="Calibri"/>
          <w:b/>
          <w:color w:val="1F497D"/>
          <w:sz w:val="48"/>
        </w:rPr>
        <w:t>L'errore che la polizza non copre:</w:t>
        <w:br/>
        <w:t>come l'AI sta cambiando la RC professionale</w:t>
      </w:r>
    </w:p>
    <w:p>
      <w:pPr>
        <w:spacing w:after="200"/>
        <w:jc w:val="left"/>
      </w:pPr>
      <w:r>
        <w:rPr>
          <w:rFonts w:ascii="Calibri" w:hAnsi="Calibri"/>
          <w:i/>
          <w:color w:val="2E74B5"/>
          <w:sz w:val="26"/>
        </w:rPr>
        <w:t>Le polizze di responsabilità civile professionale non sono state scritte per un mondo in cui il software suggerisce la detrazione sbagliata. Alcune compagnie stanno aggiornando le condizioni. La maggior parte ancora no.</w:t>
      </w:r>
    </w:p>
    <w:p>
      <w:pPr>
        <w:spacing w:after="40" w:before="40"/>
        <w:pBdr>
          <w:bottom w:val="single" w:sz="6" w:space="1" w:color="1F497D"/>
        </w:pBdr>
      </w:pPr>
    </w:p>
    <w:p>
      <w:pPr>
        <w:spacing w:after="320"/>
        <w:jc w:val="left"/>
      </w:pPr>
      <w:r>
        <w:rPr>
          <w:rFonts w:ascii="Calibri" w:hAnsi="Calibri"/>
          <w:color w:val="808080"/>
          <w:sz w:val="18"/>
        </w:rPr>
        <w:t>A cura della Redazione Ratio  •  8 maggio 2026</w:t>
      </w:r>
    </w:p>
    <w:p>
      <w:pPr>
        <w:spacing w:after="160" w:line="320" w:lineRule="exact"/>
        <w:jc w:val="both"/>
      </w:pPr>
      <w:r>
        <w:rPr>
          <w:rFonts w:ascii="Calibri" w:hAnsi="Calibri"/>
          <w:sz w:val="22"/>
        </w:rPr>
        <w:t>Un commercialista usa un software tributario con funzioni AI per predisporre il modello 730 di un cliente. Il software suggerisce l'inserimento di una detrazione che in realtà non spetta: un errore di interpretazione normativa generato dall'algoritmo. Il professionista non verifica nel dettaglio, il cliente presenta la dichiarazione, l'Agenzia delle Entrate contesta e irroga sanzioni. Chi paga? La risposta, nella maggior parte dei casi, è: il commercialista. La domanda successiva, che molti non si sono ancora posti, è: la sua polizza RC professionale copre questo tipo di errore?</w:t>
      </w:r>
    </w:p>
    <w:p>
      <w:pPr>
        <w:spacing w:after="160" w:line="320" w:lineRule="exact"/>
        <w:jc w:val="both"/>
      </w:pPr>
      <w:r>
        <w:rPr>
          <w:rFonts w:ascii="Calibri" w:hAnsi="Calibri"/>
          <w:sz w:val="22"/>
        </w:rPr>
        <w:t>Le polizze di responsabilità civile professionale per commercialisti, avvocati e consulenti del lavoro sono state progettate per un mondo in cui l'errore è umano. Il professionista valuta, decide, firma. Se sbaglia, la colpa è sua e la polizza lo copre. Con l'introduzione di sistemi AI nel flusso di lavoro, la catena causale si allunga: c'è uno strumento che elabora, suggerisce o decide, e poi c'è il professionista che accetta o non verifica abbastanza. Questo schema, che è diventato la normalità in molti studi nel corso del 2025, non è contemplato nella maggior parte dei contratti assicurativi in essere.</w:t>
      </w:r>
    </w:p>
    <w:p>
      <w:pPr>
        <w:spacing w:before="280" w:after="120"/>
      </w:pPr>
      <w:r>
        <w:rPr>
          <w:rFonts w:ascii="Calibri" w:hAnsi="Calibri"/>
          <w:b/>
          <w:color w:val="1F497D"/>
          <w:sz w:val="24"/>
        </w:rPr>
        <w:t>Come il mercato assicurativo sta reagendo</w:t>
      </w:r>
    </w:p>
    <w:p>
      <w:pPr>
        <w:spacing w:after="160" w:line="320" w:lineRule="exact"/>
        <w:jc w:val="both"/>
      </w:pPr>
      <w:r>
        <w:rPr>
          <w:rFonts w:ascii="Calibri" w:hAnsi="Calibri"/>
          <w:sz w:val="22"/>
        </w:rPr>
        <w:t>Il tema è entrato nell'agenda del mercato assicurativo italiano nel 2025 e nel 2026 si è concretizzato in alcune modifiche nelle polizze collettive degli ordini professionali. UIA International, associazione internazionale di avvocati, ha pubblicato una proposta di adeguamento delle coperture RC che esplicitamente richiama il rischio di danni causati da sistemi AI usati nello svolgimento dell'incarico. Alcune compagnie assicurative hanno iniziato a inserire clausole specifiche: alcune escludono i danni derivanti da output AI non verificati, altre li includono solo se il professionista dimostra di aver adottato procedure di controllo documentate.</w:t>
      </w:r>
    </w:p>
    <w:p>
      <w:pPr>
        <w:spacing w:after="160" w:line="320" w:lineRule="exact"/>
        <w:jc w:val="both"/>
      </w:pPr>
      <w:r>
        <w:rPr>
          <w:rFonts w:ascii="Calibri" w:hAnsi="Calibri"/>
          <w:sz w:val="22"/>
        </w:rPr>
        <w:t>Questa biforcazione è il punto cruciale per chi usa l'AI nel lavoro quotidiano. Non si tratta di sapere se la tua polizza copre l'AI in astratto: si tratta di sapere se copre il tuo processo di lavoro concreto. Se usi Genya, Datev, Wolters Kluwer o qualsiasi altro software tributario con funzioni AI integrate, e non hai mai riletto le condizioni della tua polizza aggiornate al 2025-2026, non sai cosa è coperto nel caso in cui l'AI generi un errore che supera il tuo controllo.</w:t>
      </w:r>
    </w:p>
    <w:p>
      <w:pPr>
        <w:spacing w:before="280" w:after="120"/>
      </w:pPr>
      <w:r>
        <w:rPr>
          <w:rFonts w:ascii="Calibri" w:hAnsi="Calibri"/>
          <w:b/>
          <w:color w:val="1F497D"/>
          <w:sz w:val="24"/>
        </w:rPr>
        <w:t>Il quadro normativo che cambia le responsabilità</w:t>
      </w:r>
    </w:p>
    <w:p>
      <w:pPr>
        <w:spacing w:after="160" w:line="320" w:lineRule="exact"/>
        <w:jc w:val="both"/>
      </w:pPr>
      <w:r>
        <w:rPr>
          <w:rFonts w:ascii="Calibri" w:hAnsi="Calibri"/>
          <w:sz w:val="22"/>
        </w:rPr>
        <w:t>La Legge 132/2025 ha chiarito che la responsabilità civile e deontologica del professionista non si trasferisce all'AI. Se il software sbaglia, il professionista risponde. Questa chiarezza normativa, però, lascia aperta una questione pratica: il professionista che dimostra di aver usato lo strumento seguendo le istruzioni del fornitore, di aver eseguito una verifica ragionevole e di aver documentato il processo ha un profilo di rischio diverso da chi non ha fatto nessuna di queste cose. Le compagnie assicurative stanno cominciando a fare questa distinzione nelle nuove condizioni di polizza.</w:t>
      </w:r>
    </w:p>
    <w:p>
      <w:pPr>
        <w:spacing w:after="160" w:line="320" w:lineRule="exact"/>
        <w:jc w:val="both"/>
      </w:pPr>
      <w:r>
        <w:rPr>
          <w:rFonts w:ascii="Calibri" w:hAnsi="Calibri"/>
          <w:sz w:val="22"/>
        </w:rPr>
        <w:t>Il concetto che sta emergendo nel mercato assicurativo è quello della diligenza aumentata: chi usa l'AI ha l'obbligo di controllare l'output in misura proporzionata al rischio dell'attività. Per un parere fiscale su un'operazione di ristrutturazione aziendale, la diligenza richiesta è molto maggiore che per la bozza di una lettera standard. Questo significa che la stessa polizza può coprire o non coprire lo stesso errore a seconda di come il professionista ha lavorato. Il fatto che il software abbia generato l'errore non sposta la responsabilità: sposta solo la complessità della prova.</w:t>
      </w:r>
    </w:p>
    <w:p>
      <w:pPr>
        <w:spacing w:before="280" w:after="120"/>
      </w:pPr>
      <w:r>
        <w:rPr>
          <w:rFonts w:ascii="Calibri" w:hAnsi="Calibri"/>
          <w:b/>
          <w:color w:val="1F497D"/>
          <w:sz w:val="24"/>
        </w:rPr>
        <w:t>Cosa fare prima di rinnovare la polizza</w:t>
      </w:r>
    </w:p>
    <w:p>
      <w:pPr>
        <w:spacing w:after="160" w:line="320" w:lineRule="exact"/>
        <w:jc w:val="both"/>
      </w:pPr>
      <w:r>
        <w:rPr>
          <w:rFonts w:ascii="Calibri" w:hAnsi="Calibri"/>
          <w:sz w:val="22"/>
        </w:rPr>
        <w:t>Per uno studio professionale, la conseguenza operativa è concreta. Aggiornare la propria polizza RC non basta: bisogna poter dimostrare, con documentazione interna, di aver adottato un processo di supervisione degli output AI. Non serve un protocollo sofisticato: serve una procedura scritta che dica quali tipi di output AI richiedono verifica, chi la effettua e come si traccia. Questo documento, che potrebbe sembrare una formalità burocratica, diventa la prova della diligenza professionale in caso di contestazione davanti all'ordine o in sede civile.</w:t>
      </w:r>
    </w:p>
    <w:p>
      <w:pPr>
        <w:spacing w:after="160" w:line="320" w:lineRule="exact"/>
        <w:jc w:val="both"/>
      </w:pPr>
      <w:r>
        <w:rPr>
          <w:rFonts w:ascii="Calibri" w:hAnsi="Calibri"/>
          <w:sz w:val="22"/>
        </w:rPr>
        <w:t>C'è un effetto collaterale di questo scenario che riguarda la relazione con i clienti. Se un cliente usa strumenti AI per preparare documentazione da fornire allo studio, per esempio bilanci gestionali o estratti conto elaborati da software con funzioni AI, il professionista che accetta quella documentazione senza una verifica adeguata assume un rischio che la sua polizza potrebbe non coprire. La catena dell'AI non riguarda solo quello che succede dentro lo studio: riguarda anche quello che arriva dall'esterno.</w:t>
      </w:r>
    </w:p>
    <w:p>
      <w:pPr>
        <w:spacing w:before="280" w:after="120"/>
      </w:pPr>
      <w:r>
        <w:rPr>
          <w:rFonts w:ascii="Calibri" w:hAnsi="Calibri"/>
          <w:b/>
          <w:color w:val="1F497D"/>
          <w:sz w:val="24"/>
        </w:rPr>
        <w:t>La verifica che si rimanda sempre</w:t>
      </w:r>
    </w:p>
    <w:p>
      <w:pPr>
        <w:spacing w:after="160" w:line="320" w:lineRule="exact"/>
        <w:jc w:val="both"/>
      </w:pPr>
      <w:r>
        <w:rPr>
          <w:rFonts w:ascii="Calibri" w:hAnsi="Calibri"/>
          <w:sz w:val="22"/>
        </w:rPr>
        <w:t>Il mercato assicurativo si adatta sempre con un ritardo rispetto alla tecnologia. Chi ha già rivisto la propria polizza alla luce dell'AI ha un vantaggio: sa cosa è coperto e cosa no. Chi non l'ha fatto, lavora con uno strumento di gestione del rischio costruito per un mondo che non esiste più. Chiedere all'assicuratore o al broker una lettura esplicita delle condizioni di copertura in presenza di AI nel flusso di lavoro non è un esercizio di cautela eccessiva: è la verifica di base che ogni professionista dovrebbe fare prima di rinnovare il contratto. Il rinnovo annuale, che molti trattano come un adempimento automatico, è il momento giusto per porre questa domanda. Se il rinnovo è già passato, il momento giusto è adesso.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Legge 132/2025 — Disciplina organica sull'intelligenza artificiale in Italia</w:t>
      </w:r>
    </w:p>
    <w:p>
      <w:pPr>
        <w:spacing w:after="40"/>
      </w:pPr>
      <w:r>
        <w:rPr>
          <w:rFonts w:ascii="Calibri" w:hAnsi="Calibri"/>
          <w:color w:val="606060"/>
          <w:sz w:val="17"/>
        </w:rPr>
        <w:t>• UIA International — Proposta di adeguamento coperture RC professionale e AI (2026)</w:t>
      </w:r>
    </w:p>
    <w:p>
      <w:pPr>
        <w:spacing w:after="40"/>
      </w:pPr>
      <w:r>
        <w:rPr>
          <w:rFonts w:ascii="Calibri" w:hAnsi="Calibri"/>
          <w:color w:val="606060"/>
          <w:sz w:val="17"/>
        </w:rPr>
        <w:t>• KTS Finance — "Assicurazione Professionale Commercialisti e IA: 3 Rischi del 730/2026" (2026)</w:t>
      </w:r>
    </w:p>
    <w:p>
      <w:pPr>
        <w:spacing w:after="40"/>
      </w:pPr>
      <w:r>
        <w:rPr>
          <w:rFonts w:ascii="Calibri" w:hAnsi="Calibri"/>
          <w:color w:val="606060"/>
          <w:sz w:val="17"/>
        </w:rPr>
        <w:t>• EC News — "AI e responsabilità del professionista: i nuovi confini del rischio" (2026)</w:t>
      </w:r>
    </w:p>
    <w:p>
      <w:pPr>
        <w:spacing w:after="40"/>
      </w:pPr>
      <w:r>
        <w:rPr>
          <w:rFonts w:ascii="Calibri" w:hAnsi="Calibri"/>
          <w:color w:val="606060"/>
          <w:sz w:val="17"/>
        </w:rPr>
        <w:t>• Il Fatto Quotidiano — "I professionisti che usano l'Intelligenza Artificiale hanno l'obbligo di informare i clienti e sono responsabili di eventuali errori" (28 marzo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