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911AC" w14:textId="67F064E8" w:rsidR="00261CBC" w:rsidRPr="000265F3" w:rsidRDefault="00261CBC" w:rsidP="000265F3">
      <w:pPr>
        <w:pStyle w:val="Titolo1"/>
        <w:jc w:val="both"/>
        <w:rPr>
          <w:rFonts w:asciiTheme="minorHAnsi" w:hAnsiTheme="minorHAnsi"/>
          <w:b/>
          <w:bCs/>
          <w:sz w:val="22"/>
          <w:szCs w:val="22"/>
        </w:rPr>
      </w:pPr>
      <w:r w:rsidRPr="00532A76">
        <w:rPr>
          <w:rFonts w:asciiTheme="minorHAnsi" w:hAnsiTheme="minorHAnsi"/>
          <w:b/>
          <w:bCs/>
          <w:sz w:val="22"/>
          <w:szCs w:val="22"/>
        </w:rPr>
        <w:t>Il Business Plan alla base della gestione aziendale (</w:t>
      </w:r>
      <w:r w:rsidR="0012051F">
        <w:rPr>
          <w:rFonts w:asciiTheme="minorHAnsi" w:hAnsiTheme="minorHAnsi"/>
          <w:b/>
          <w:bCs/>
          <w:sz w:val="22"/>
          <w:szCs w:val="22"/>
        </w:rPr>
        <w:t>terza</w:t>
      </w:r>
      <w:r w:rsidRPr="00532A76">
        <w:rPr>
          <w:rFonts w:asciiTheme="minorHAnsi" w:hAnsiTheme="minorHAnsi"/>
          <w:b/>
          <w:bCs/>
          <w:sz w:val="22"/>
          <w:szCs w:val="22"/>
        </w:rPr>
        <w:t xml:space="preserve"> parte): dai dati </w:t>
      </w:r>
      <w:r w:rsidR="0012051F">
        <w:rPr>
          <w:rFonts w:asciiTheme="minorHAnsi" w:hAnsiTheme="minorHAnsi"/>
          <w:b/>
          <w:bCs/>
          <w:sz w:val="22"/>
          <w:szCs w:val="22"/>
        </w:rPr>
        <w:t xml:space="preserve">economici </w:t>
      </w:r>
      <w:r w:rsidRPr="00532A76">
        <w:rPr>
          <w:rFonts w:asciiTheme="minorHAnsi" w:hAnsiTheme="minorHAnsi"/>
          <w:b/>
          <w:bCs/>
          <w:sz w:val="22"/>
          <w:szCs w:val="22"/>
        </w:rPr>
        <w:t xml:space="preserve">a quelli </w:t>
      </w:r>
      <w:r w:rsidR="00281B74">
        <w:rPr>
          <w:rFonts w:asciiTheme="minorHAnsi" w:hAnsiTheme="minorHAnsi"/>
          <w:b/>
          <w:bCs/>
          <w:sz w:val="22"/>
          <w:szCs w:val="22"/>
        </w:rPr>
        <w:t>finanziari</w:t>
      </w:r>
      <w:r w:rsidRPr="00532A76">
        <w:rPr>
          <w:rFonts w:asciiTheme="minorHAnsi" w:hAnsiTheme="minorHAnsi"/>
          <w:b/>
          <w:bCs/>
          <w:sz w:val="22"/>
          <w:szCs w:val="22"/>
        </w:rPr>
        <w:t>.</w:t>
      </w:r>
    </w:p>
    <w:p w14:paraId="76D9902C" w14:textId="77777777" w:rsidR="0022359E" w:rsidRDefault="0022359E" w:rsidP="00621588">
      <w:pPr>
        <w:jc w:val="both"/>
      </w:pPr>
    </w:p>
    <w:p w14:paraId="79AAFDA0" w14:textId="461A37C0" w:rsidR="0022359E" w:rsidRPr="0022359E" w:rsidRDefault="0022359E" w:rsidP="00621588">
      <w:pPr>
        <w:jc w:val="both"/>
        <w:rPr>
          <w:b/>
          <w:bCs/>
        </w:rPr>
      </w:pPr>
      <w:r w:rsidRPr="0022359E">
        <w:rPr>
          <w:b/>
          <w:bCs/>
        </w:rPr>
        <w:t>Abstract</w:t>
      </w:r>
    </w:p>
    <w:p w14:paraId="510394DC" w14:textId="77777777" w:rsidR="0022359E" w:rsidRDefault="0022359E" w:rsidP="00621588">
      <w:pPr>
        <w:jc w:val="both"/>
      </w:pPr>
    </w:p>
    <w:p w14:paraId="74929DBA" w14:textId="6EC93E7D" w:rsidR="00281B74" w:rsidRDefault="00D9259B" w:rsidP="00621588">
      <w:pPr>
        <w:jc w:val="both"/>
      </w:pPr>
      <w:r w:rsidRPr="00D9259B">
        <w:t xml:space="preserve">Nella </w:t>
      </w:r>
      <w:r w:rsidR="00281B74">
        <w:t xml:space="preserve">seconda </w:t>
      </w:r>
      <w:r w:rsidRPr="00D9259B">
        <w:t xml:space="preserve">parte dell’articolo </w:t>
      </w:r>
      <w:r w:rsidR="00281B74">
        <w:t xml:space="preserve">è stato determinato il risultato prima degli interessi, </w:t>
      </w:r>
      <w:r w:rsidR="006D6B8C">
        <w:t>delle partite straordinarie e delle imposte.</w:t>
      </w:r>
      <w:r w:rsidR="0051273C">
        <w:t xml:space="preserve"> </w:t>
      </w:r>
    </w:p>
    <w:p w14:paraId="1D531F9A" w14:textId="77777777" w:rsidR="00216AA6" w:rsidRDefault="00BB66B7" w:rsidP="00621588">
      <w:pPr>
        <w:jc w:val="both"/>
      </w:pPr>
      <w:r>
        <w:t xml:space="preserve">Per prevedere gli interessi </w:t>
      </w:r>
      <w:r w:rsidR="003333BF">
        <w:t xml:space="preserve">occorre </w:t>
      </w:r>
      <w:r w:rsidR="00C23A89">
        <w:t>fare riferimento alle fonti finanziarie a lungo termine</w:t>
      </w:r>
      <w:r w:rsidR="009430BE">
        <w:t xml:space="preserve"> andando ad analizzare i piani di ammortamento presenti e futuri</w:t>
      </w:r>
      <w:r w:rsidR="00216AA6">
        <w:t>.</w:t>
      </w:r>
      <w:r w:rsidR="009430BE">
        <w:t xml:space="preserve"> </w:t>
      </w:r>
    </w:p>
    <w:p w14:paraId="574CE27C" w14:textId="7005F3B1" w:rsidR="004C6ADE" w:rsidRDefault="00216AA6" w:rsidP="00621588">
      <w:pPr>
        <w:jc w:val="both"/>
      </w:pPr>
      <w:r w:rsidRPr="00842213">
        <w:rPr>
          <w:i/>
          <w:iCs/>
        </w:rPr>
        <w:t>I</w:t>
      </w:r>
      <w:r w:rsidR="009430BE" w:rsidRPr="00842213">
        <w:rPr>
          <w:i/>
          <w:iCs/>
        </w:rPr>
        <w:t>l tool Business Plan_24</w:t>
      </w:r>
      <w:r w:rsidR="009430BE">
        <w:t xml:space="preserve"> comprende un vero e proprio calcolatore di piani di ammortamento di qualsiasi tipo (Francese/Italiana, con riscatto, </w:t>
      </w:r>
      <w:r w:rsidR="00CA7C01">
        <w:t>con preammortamento</w:t>
      </w:r>
      <w:r>
        <w:t xml:space="preserve">) che consente di ipotizzare qualsiasi tipo di </w:t>
      </w:r>
      <w:r w:rsidR="00407DD1">
        <w:t>forma di finanziamento e ricavarne gli oneri finanziari.</w:t>
      </w:r>
    </w:p>
    <w:p w14:paraId="7CBD5C3F" w14:textId="76914B25" w:rsidR="00407DD1" w:rsidRDefault="00407DD1" w:rsidP="00621588">
      <w:pPr>
        <w:jc w:val="both"/>
      </w:pPr>
      <w:r>
        <w:t>Più complesso è invece il calcolo degli interessi derivanti dalla posizione finanziaria netta</w:t>
      </w:r>
      <w:r w:rsidR="002F6E42">
        <w:t xml:space="preserve"> a breve termine</w:t>
      </w:r>
      <w:r>
        <w:t>.</w:t>
      </w:r>
      <w:r w:rsidR="000002CE">
        <w:t xml:space="preserve"> </w:t>
      </w:r>
    </w:p>
    <w:p w14:paraId="3565D1C5" w14:textId="3851F520" w:rsidR="0068776C" w:rsidRPr="002F6E42" w:rsidRDefault="0068776C" w:rsidP="0068776C">
      <w:pPr>
        <w:jc w:val="both"/>
      </w:pPr>
      <w:r w:rsidRPr="0068776C">
        <w:t>La posizione finanziaria netta finale sarà determinata da tutte le variazioni di cassa derivanti dagli elementi del budget esaminati fino a questo punto e dalle variazioni patrimoniali. È importante notare che tra gli oneri finanziari e la posizione finanziaria netta si instaura un’interrelazione complessa: gli oneri finanziari scaturiscono dalla posizione finanziaria netta, mentre quest’ultima è influenzata dagli oneri finanziari dovuti alle banche. Per risolvere questa interdipendenza circolare, è necessario ricalcolare gli oneri finanziari in modo iterativo.</w:t>
      </w:r>
      <w:r w:rsidR="00CC187D" w:rsidRPr="00CC187D">
        <w:rPr>
          <w:b/>
        </w:rPr>
        <w:t xml:space="preserve"> </w:t>
      </w:r>
      <w:r w:rsidR="00842213">
        <w:rPr>
          <w:bCs/>
        </w:rPr>
        <w:t>Pertanto,</w:t>
      </w:r>
      <w:r>
        <w:rPr>
          <w:bCs/>
        </w:rPr>
        <w:t xml:space="preserve"> </w:t>
      </w:r>
      <w:r w:rsidR="00FF6582">
        <w:rPr>
          <w:bCs/>
        </w:rPr>
        <w:t>il calcolo degli oneri finanziari</w:t>
      </w:r>
      <w:r w:rsidR="00C3157C">
        <w:rPr>
          <w:bCs/>
        </w:rPr>
        <w:t xml:space="preserve"> </w:t>
      </w:r>
      <w:r w:rsidR="001C3B52">
        <w:rPr>
          <w:bCs/>
        </w:rPr>
        <w:t>viene così strutturato.</w:t>
      </w:r>
    </w:p>
    <w:p w14:paraId="01785C8C" w14:textId="206FB2C2" w:rsidR="004F4873" w:rsidRDefault="00D73580" w:rsidP="004F4873">
      <w:pPr>
        <w:keepNext/>
        <w:jc w:val="both"/>
      </w:pPr>
      <w:r>
        <w:rPr>
          <w:noProof/>
        </w:rPr>
        <w:drawing>
          <wp:inline distT="0" distB="0" distL="0" distR="0" wp14:anchorId="782984B4" wp14:editId="2B87B10B">
            <wp:extent cx="3951799" cy="3563179"/>
            <wp:effectExtent l="0" t="0" r="0" b="0"/>
            <wp:docPr id="1514347653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47653" name="Immagine 1" descr="Immagine che contiene testo, schermata, Carattere, numero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3571" cy="356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84D8" w14:textId="7D780AA1" w:rsidR="001C3B52" w:rsidRDefault="004F4873" w:rsidP="004F4873">
      <w:pPr>
        <w:pStyle w:val="Didascalia"/>
        <w:jc w:val="both"/>
      </w:pPr>
      <w:r>
        <w:t xml:space="preserve">Figura </w:t>
      </w:r>
      <w:fldSimple w:instr=" SEQ Figura \* ARABIC ">
        <w:r w:rsidR="00B469EE">
          <w:rPr>
            <w:noProof/>
          </w:rPr>
          <w:t>1</w:t>
        </w:r>
      </w:fldSimple>
      <w:r>
        <w:t>: Calcolo degli oneri finanziari</w:t>
      </w:r>
    </w:p>
    <w:p w14:paraId="2C261FF7" w14:textId="11837333" w:rsidR="004F4873" w:rsidRPr="004F4873" w:rsidRDefault="004F4873" w:rsidP="004F4873"/>
    <w:p w14:paraId="393BF203" w14:textId="77777777" w:rsidR="00842213" w:rsidRDefault="001B75DA" w:rsidP="00621588">
      <w:pPr>
        <w:jc w:val="both"/>
      </w:pPr>
      <w:r>
        <w:lastRenderedPageBreak/>
        <w:t xml:space="preserve">Come si nota dalla figura 1 gli </w:t>
      </w:r>
      <w:r w:rsidR="003A098B">
        <w:t xml:space="preserve">Oneri finanziari su Debiti Fin. A breve ipotizzati sono pari a </w:t>
      </w:r>
      <w:r w:rsidR="00842213">
        <w:t>25.000</w:t>
      </w:r>
      <w:r w:rsidR="003A098B">
        <w:t xml:space="preserve"> </w:t>
      </w:r>
      <w:r w:rsidR="00240C3B">
        <w:t>tale valore non corrisponde a 706.858*0,04</w:t>
      </w:r>
      <w:r w:rsidR="00842213">
        <w:t>3</w:t>
      </w:r>
      <w:r w:rsidR="00240C3B">
        <w:t>64=</w:t>
      </w:r>
      <w:r w:rsidR="00CF4E0F">
        <w:t>30.84</w:t>
      </w:r>
      <w:r w:rsidR="00842213">
        <w:t>7</w:t>
      </w:r>
      <w:r w:rsidR="00CF4E0F">
        <w:t>,</w:t>
      </w:r>
      <w:r w:rsidR="00842213">
        <w:t>2</w:t>
      </w:r>
    </w:p>
    <w:p w14:paraId="53FD66C9" w14:textId="37D31E3E" w:rsidR="00C23A89" w:rsidRDefault="00CF4E0F" w:rsidP="00621588">
      <w:pPr>
        <w:jc w:val="both"/>
      </w:pPr>
      <w:r>
        <w:t>8 ma tiene conto del calcolo iterativo degli interessi attraverso la formula</w:t>
      </w:r>
    </w:p>
    <w:p w14:paraId="3E18ACDF" w14:textId="483D438B" w:rsidR="00A919A0" w:rsidRDefault="006918AB" w:rsidP="00A919A0">
      <w:pPr>
        <w:jc w:val="both"/>
        <w:rPr>
          <w:rFonts w:eastAsiaTheme="minorEastAsia"/>
        </w:rPr>
      </w:pPr>
      <m:oMath>
        <m:r>
          <w:rPr>
            <w:rFonts w:ascii="Cambria Math" w:hAnsi="Cambria Math"/>
          </w:rPr>
          <m:t>Indebitamento medio×(i+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 w:rsidR="0062043D">
        <w:rPr>
          <w:rFonts w:eastAsiaTheme="minorEastAsia"/>
        </w:rPr>
        <w:t xml:space="preserve"> = 706.858*</w:t>
      </w:r>
      <w:r w:rsidR="00A919A0">
        <w:rPr>
          <w:rFonts w:eastAsiaTheme="minorEastAsia"/>
        </w:rPr>
        <w:t>(</w:t>
      </w:r>
      <w:r w:rsidR="0062043D">
        <w:rPr>
          <w:rFonts w:eastAsiaTheme="minorEastAsia"/>
        </w:rPr>
        <w:t>0</w:t>
      </w:r>
      <w:r w:rsidR="00A919A0">
        <w:rPr>
          <w:rFonts w:eastAsiaTheme="minorEastAsia"/>
        </w:rPr>
        <w:t>,</w:t>
      </w:r>
      <w:r w:rsidR="00842213">
        <w:rPr>
          <w:rFonts w:eastAsiaTheme="minorEastAsia"/>
        </w:rPr>
        <w:t>0</w:t>
      </w:r>
      <w:r w:rsidR="0062043D">
        <w:rPr>
          <w:rFonts w:eastAsiaTheme="minorEastAsia"/>
        </w:rPr>
        <w:t>4</w:t>
      </w:r>
      <w:r w:rsidR="00842213">
        <w:rPr>
          <w:rFonts w:eastAsiaTheme="minorEastAsia"/>
        </w:rPr>
        <w:t>3</w:t>
      </w:r>
      <w:r w:rsidR="0062043D">
        <w:rPr>
          <w:rFonts w:eastAsiaTheme="minorEastAsia"/>
        </w:rPr>
        <w:t>64</w:t>
      </w:r>
      <w:r w:rsidR="00A919A0">
        <w:rPr>
          <w:rFonts w:eastAsiaTheme="minorEastAsia"/>
        </w:rPr>
        <w:t>+</w:t>
      </w:r>
      <w:r w:rsidR="00A919A0" w:rsidRPr="00A919A0">
        <w:rPr>
          <w:rFonts w:eastAsiaTheme="minorEastAsia"/>
        </w:rPr>
        <w:t>0,0019</w:t>
      </w:r>
      <w:r w:rsidR="00A919A0">
        <w:rPr>
          <w:rFonts w:eastAsiaTheme="minorEastAsia"/>
        </w:rPr>
        <w:t>+</w:t>
      </w:r>
      <w:r w:rsidR="00F9330A" w:rsidRPr="00F9330A">
        <w:rPr>
          <w:rFonts w:eastAsiaTheme="minorEastAsia"/>
        </w:rPr>
        <w:t xml:space="preserve"> 0,000083</w:t>
      </w:r>
      <w:r w:rsidR="00F9330A">
        <w:rPr>
          <w:rFonts w:eastAsiaTheme="minorEastAsia"/>
        </w:rPr>
        <w:t>) = 32.249,38</w:t>
      </w:r>
    </w:p>
    <w:p w14:paraId="1270C237" w14:textId="30EAFEAF" w:rsidR="00810B9B" w:rsidRDefault="00810B9B" w:rsidP="00A919A0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Dove </w:t>
      </w:r>
      <w:r w:rsidRPr="00810B9B">
        <w:rPr>
          <w:rFonts w:eastAsiaTheme="minorEastAsia"/>
          <w:i/>
          <w:iCs/>
        </w:rPr>
        <w:t>i</w:t>
      </w:r>
      <w:r w:rsidR="00A575BE">
        <w:rPr>
          <w:rFonts w:eastAsiaTheme="minorEastAsia"/>
        </w:rPr>
        <w:t xml:space="preserve"> è pari al costo medio dell’indebitamento che è storicamente noto </w:t>
      </w:r>
      <w:r>
        <w:rPr>
          <w:rFonts w:eastAsiaTheme="minorEastAsia"/>
        </w:rPr>
        <w:t xml:space="preserve">e </w:t>
      </w:r>
      <w:r w:rsidR="00A575BE">
        <w:rPr>
          <w:rFonts w:eastAsiaTheme="minorEastAsia"/>
        </w:rPr>
        <w:t xml:space="preserve">può essere </w:t>
      </w:r>
      <w:r>
        <w:rPr>
          <w:rFonts w:eastAsiaTheme="minorEastAsia"/>
        </w:rPr>
        <w:t xml:space="preserve">ipotizzato mentre l’indebitamento medio necessita </w:t>
      </w:r>
      <w:r w:rsidR="005F140D">
        <w:rPr>
          <w:rFonts w:eastAsiaTheme="minorEastAsia"/>
        </w:rPr>
        <w:t xml:space="preserve">della determinazione della posizione finanziaria netta. </w:t>
      </w:r>
      <w:r w:rsidR="00171F1E" w:rsidRPr="00171F1E">
        <w:t xml:space="preserve">Per procedere con i calcoli, è indispensabile redigere il bilancio previsionale o, </w:t>
      </w:r>
      <w:r w:rsidR="00171F1E">
        <w:t>meglio</w:t>
      </w:r>
      <w:r w:rsidR="00171F1E" w:rsidRPr="00171F1E">
        <w:t>, il rendiconto finanziario.</w:t>
      </w:r>
    </w:p>
    <w:p w14:paraId="678AB3FE" w14:textId="77777777" w:rsidR="00B66B82" w:rsidRDefault="00B66B82" w:rsidP="00B66B82">
      <w:pPr>
        <w:jc w:val="both"/>
      </w:pPr>
      <w:r w:rsidRPr="00BA0FBB">
        <w:t>In fase di consuntivazione, il rendiconto finanziario viene compilato solo dopo la redazione del conto economico e dello stato patrimoniale. In fase di preventivazione, invece, il processo è inverso: si parte dal conto economico per poi redigere lo stato patrimoniale previsionale attraverso le variazioni previste nel rendiconto finanziario.</w:t>
      </w:r>
    </w:p>
    <w:p w14:paraId="4F2813BB" w14:textId="77777777" w:rsidR="00B66B82" w:rsidRDefault="00B66B82" w:rsidP="00B66B82">
      <w:pPr>
        <w:keepNext/>
        <w:jc w:val="both"/>
      </w:pPr>
      <w:r>
        <w:rPr>
          <w:noProof/>
        </w:rPr>
        <w:drawing>
          <wp:inline distT="0" distB="0" distL="0" distR="0" wp14:anchorId="71E95F21" wp14:editId="20F356D9">
            <wp:extent cx="3354208" cy="1923139"/>
            <wp:effectExtent l="0" t="38100" r="0" b="39370"/>
            <wp:docPr id="1498219906" name="Diagram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4F89BB75" w14:textId="40BDFA49" w:rsidR="00B66B82" w:rsidRPr="00532A76" w:rsidRDefault="00B66B82" w:rsidP="00B66B82">
      <w:pPr>
        <w:pStyle w:val="Didascalia"/>
        <w:jc w:val="both"/>
        <w:rPr>
          <w:sz w:val="22"/>
          <w:szCs w:val="22"/>
        </w:rPr>
      </w:pPr>
      <w:r>
        <w:t xml:space="preserve">Figura </w:t>
      </w:r>
      <w:fldSimple w:instr=" SEQ Figura \* ARABIC ">
        <w:r w:rsidR="00B469EE">
          <w:rPr>
            <w:noProof/>
          </w:rPr>
          <w:t>2</w:t>
        </w:r>
      </w:fldSimple>
      <w:r>
        <w:t xml:space="preserve">: La logica di costruzione dei dati previsionali </w:t>
      </w:r>
    </w:p>
    <w:p w14:paraId="2998D75C" w14:textId="2BC52C91" w:rsidR="00B66B82" w:rsidRDefault="00517AFE" w:rsidP="00621588">
      <w:pPr>
        <w:jc w:val="both"/>
        <w:rPr>
          <w:b/>
          <w:bCs/>
        </w:rPr>
      </w:pPr>
      <w:r w:rsidRPr="00517AFE">
        <w:rPr>
          <w:b/>
          <w:bCs/>
        </w:rPr>
        <w:t>Le dinamiche del capitale circolante</w:t>
      </w:r>
    </w:p>
    <w:p w14:paraId="329A155D" w14:textId="19A9A347" w:rsidR="003B5EB9" w:rsidRDefault="008931C8" w:rsidP="00621588">
      <w:pPr>
        <w:jc w:val="both"/>
      </w:pPr>
      <w:r w:rsidRPr="007F4B15">
        <w:t>L</w:t>
      </w:r>
      <w:r w:rsidRPr="008931C8">
        <w:t xml:space="preserve">'analisi delle variazioni delle componenti del capitale circolante, come crediti commerciali, debiti commerciali e scorte, </w:t>
      </w:r>
      <w:r w:rsidRPr="007F4B15">
        <w:t xml:space="preserve">consente di </w:t>
      </w:r>
      <w:r w:rsidRPr="008931C8">
        <w:t xml:space="preserve">determinare l'impatto sulle disponibilità liquide dell'azienda. </w:t>
      </w:r>
      <w:r w:rsidR="007F4B15">
        <w:t xml:space="preserve">Alcune di queste componenti quali le rimanenze sono state già determinate in occasione del calcolo degli acquisti altre andranno ricavate </w:t>
      </w:r>
      <w:r w:rsidR="00EA67FA">
        <w:t>partendo dalle previsioni economiche.</w:t>
      </w:r>
    </w:p>
    <w:p w14:paraId="6C84C1E5" w14:textId="6354055C" w:rsidR="00EA67FA" w:rsidRDefault="00680618" w:rsidP="00621588">
      <w:pPr>
        <w:jc w:val="both"/>
      </w:pPr>
      <w:r>
        <w:t xml:space="preserve">Per quanto concerne debiti e crediti di natura commerciale </w:t>
      </w:r>
      <w:r w:rsidR="00DE68A1">
        <w:t>la variazione di cassa corrisponderà alla formula</w:t>
      </w:r>
      <w:r w:rsidR="00141C93">
        <w:t>.</w:t>
      </w:r>
      <w:r w:rsidR="00DE68A1">
        <w:t xml:space="preserve"> </w:t>
      </w:r>
    </w:p>
    <w:p w14:paraId="1AB8E594" w14:textId="155C1439" w:rsidR="00DE68A1" w:rsidRDefault="00DE68A1" w:rsidP="00621588">
      <w:pPr>
        <w:jc w:val="both"/>
        <w:rPr>
          <w:i/>
          <w:iCs/>
        </w:rPr>
      </w:pPr>
      <w:r w:rsidRPr="00467699">
        <w:rPr>
          <w:i/>
          <w:iCs/>
        </w:rPr>
        <w:t xml:space="preserve">Crediti iniziali – Crediti finali + </w:t>
      </w:r>
      <w:r w:rsidR="00467699" w:rsidRPr="00467699">
        <w:rPr>
          <w:i/>
          <w:iCs/>
        </w:rPr>
        <w:t>Debiti Finali – Debiti Iniziali</w:t>
      </w:r>
    </w:p>
    <w:p w14:paraId="49CFDC44" w14:textId="53E3C045" w:rsidR="00C9524A" w:rsidRDefault="00576945" w:rsidP="00621588">
      <w:pPr>
        <w:jc w:val="both"/>
      </w:pPr>
      <w:r>
        <w:t xml:space="preserve">Dando per noti </w:t>
      </w:r>
      <w:r w:rsidR="006825B1">
        <w:t>i valori iniziali di debiti e crediti</w:t>
      </w:r>
      <w:r w:rsidR="0084289A">
        <w:t>, occorre determinare i valori finali</w:t>
      </w:r>
      <w:r w:rsidR="00C9524A">
        <w:t xml:space="preserve"> che corrispondono al debito/credito nei confronti del fornitore/cliente </w:t>
      </w:r>
      <w:r w:rsidR="00141C93">
        <w:t>al termine dell’esercizio e possono essere così determinati.</w:t>
      </w:r>
    </w:p>
    <w:p w14:paraId="29C6E72F" w14:textId="23527DD5" w:rsidR="00141C93" w:rsidRDefault="00141C93" w:rsidP="00621588">
      <w:pPr>
        <w:jc w:val="both"/>
        <w:rPr>
          <w:i/>
          <w:iCs/>
        </w:rPr>
      </w:pPr>
      <w:r w:rsidRPr="00141C93">
        <w:rPr>
          <w:i/>
          <w:iCs/>
        </w:rPr>
        <w:t>Voce di con</w:t>
      </w:r>
      <w:r>
        <w:rPr>
          <w:i/>
          <w:iCs/>
        </w:rPr>
        <w:t>to economico</w:t>
      </w:r>
      <w:r w:rsidR="000D2B3E">
        <w:rPr>
          <w:i/>
          <w:iCs/>
        </w:rPr>
        <w:t xml:space="preserve">*(1+aliquota media </w:t>
      </w:r>
      <w:proofErr w:type="gramStart"/>
      <w:r w:rsidR="000D2B3E">
        <w:rPr>
          <w:i/>
          <w:iCs/>
        </w:rPr>
        <w:t>Iva)</w:t>
      </w:r>
      <w:r w:rsidR="009219E8">
        <w:rPr>
          <w:i/>
          <w:iCs/>
        </w:rPr>
        <w:t>*</w:t>
      </w:r>
      <w:proofErr w:type="gramEnd"/>
      <w:r w:rsidR="009219E8">
        <w:rPr>
          <w:i/>
          <w:iCs/>
        </w:rPr>
        <w:t>giorni previsti/365</w:t>
      </w:r>
    </w:p>
    <w:p w14:paraId="36C353BB" w14:textId="4A119A1E" w:rsidR="001D61FF" w:rsidRDefault="000A5B01" w:rsidP="000A5B01">
      <w:pPr>
        <w:jc w:val="both"/>
      </w:pPr>
      <w:r w:rsidRPr="000A5B01">
        <w:t>I giorni previsti, da indicare distintamente per ciascuna voce, non coincideranno con i giorni di dilazione, ma verranno utilizzati per determinare l'eventuale credito o debito previsto. Ad esempio, se l’azienda paga il collegio sindacale, il cui costo è di 12.000 euro, due volte all’anno: una a giugno e una ai primi di gennaio; risulta evidente che al 31/12 di ciascun anno il debito verso i sindaci sarà pari alla metà dell'importo fatturato. Pertanto, nello schema in corrispondenza di tale voce, si indicheranno 180 giorni</w:t>
      </w:r>
      <w:r>
        <w:t xml:space="preserve"> a prescindere dalle condizioni di pagamento</w:t>
      </w:r>
      <w:r w:rsidR="0096671D">
        <w:t xml:space="preserve"> e così pure per tutte le voci che avranno manifestazione economica nell’esercizio e monetaria interamente nel successivo</w:t>
      </w:r>
      <w:r w:rsidR="001E4277">
        <w:t xml:space="preserve"> andrà riportato </w:t>
      </w:r>
      <w:r w:rsidR="005C4326">
        <w:t>365.</w:t>
      </w:r>
    </w:p>
    <w:p w14:paraId="625EE956" w14:textId="77777777" w:rsidR="00D91571" w:rsidRDefault="00D91571" w:rsidP="00D91571">
      <w:pPr>
        <w:keepNext/>
        <w:jc w:val="both"/>
      </w:pPr>
      <w:r w:rsidRPr="00D91571">
        <w:rPr>
          <w:noProof/>
        </w:rPr>
        <w:lastRenderedPageBreak/>
        <w:drawing>
          <wp:inline distT="0" distB="0" distL="0" distR="0" wp14:anchorId="5B1EC8F5" wp14:editId="58275CB0">
            <wp:extent cx="6026460" cy="2101958"/>
            <wp:effectExtent l="0" t="0" r="0" b="0"/>
            <wp:docPr id="371662619" name="Immagine 1" descr="Immagine che contiene testo, software, Carattere, Icona del computer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62619" name="Immagine 1" descr="Immagine che contiene testo, software, Carattere, Icona del computer&#10;&#10;Descrizione generat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6460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46F3" w14:textId="0B36EBE5" w:rsidR="00D91571" w:rsidRDefault="00D91571" w:rsidP="00D91571">
      <w:pPr>
        <w:pStyle w:val="Didascalia"/>
        <w:jc w:val="both"/>
      </w:pPr>
      <w:r>
        <w:t xml:space="preserve">Figura </w:t>
      </w:r>
      <w:fldSimple w:instr=" SEQ Figura \* ARABIC ">
        <w:r w:rsidR="00B469EE">
          <w:rPr>
            <w:noProof/>
          </w:rPr>
          <w:t>3</w:t>
        </w:r>
      </w:fldSimple>
      <w:r>
        <w:t>: Calcolo dei crediti verso clienti</w:t>
      </w:r>
    </w:p>
    <w:p w14:paraId="33FD99D5" w14:textId="5252128C" w:rsidR="00D91571" w:rsidRDefault="005E2C9B" w:rsidP="005E2C9B">
      <w:pPr>
        <w:jc w:val="both"/>
      </w:pPr>
      <w:r w:rsidRPr="005E2C9B">
        <w:t xml:space="preserve">Per determinare i crediti verso clienti, </w:t>
      </w:r>
      <w:r>
        <w:t xml:space="preserve">è stata </w:t>
      </w:r>
      <w:r w:rsidRPr="005E2C9B">
        <w:t>calcolat</w:t>
      </w:r>
      <w:r>
        <w:t>a</w:t>
      </w:r>
      <w:r w:rsidRPr="005E2C9B">
        <w:t xml:space="preserve"> l’IVA sul fatturato Italia per aliquota storica. Poi, ipotizzando i giorni di rotazione, </w:t>
      </w:r>
      <w:r w:rsidR="00736E6E">
        <w:t xml:space="preserve">si è cercato di </w:t>
      </w:r>
      <w:r w:rsidRPr="005E2C9B">
        <w:t>avvicina</w:t>
      </w:r>
      <w:r w:rsidR="00736E6E">
        <w:t>re</w:t>
      </w:r>
      <w:r w:rsidRPr="005E2C9B">
        <w:t xml:space="preserve"> il dato calcolato (500.360,66) a quello reale (500.000). Successivamente, </w:t>
      </w:r>
      <w:r w:rsidR="00736E6E">
        <w:t xml:space="preserve">sono stati ipotizzati </w:t>
      </w:r>
      <w:r w:rsidRPr="005E2C9B">
        <w:t xml:space="preserve">i giorni di rotazione futuri </w:t>
      </w:r>
      <w:r w:rsidR="00736E6E">
        <w:t xml:space="preserve">(mantenendoli costanti) </w:t>
      </w:r>
      <w:r w:rsidRPr="005E2C9B">
        <w:t>per determinare il valore dei crediti.</w:t>
      </w:r>
    </w:p>
    <w:p w14:paraId="34BB54FC" w14:textId="3B201344" w:rsidR="00805F27" w:rsidRDefault="00555432" w:rsidP="00C96B8F">
      <w:pPr>
        <w:jc w:val="both"/>
      </w:pPr>
      <w:r>
        <w:t>Analogo procedimento è stato compiuto con i debiti di fornitura.</w:t>
      </w:r>
    </w:p>
    <w:p w14:paraId="24D6374F" w14:textId="4B8E3660" w:rsidR="00555432" w:rsidRDefault="00555432" w:rsidP="00C96B8F">
      <w:pPr>
        <w:jc w:val="both"/>
      </w:pPr>
      <w:r>
        <w:t xml:space="preserve">Per gli altri debiti e altri crediti che non derivano direttamente da voci del conto economico </w:t>
      </w:r>
      <w:r w:rsidR="00FB559A">
        <w:t>occorre invece analizzarne la composizione per determinarne l’andamento.</w:t>
      </w:r>
    </w:p>
    <w:p w14:paraId="2CEE01FC" w14:textId="0D8D8484" w:rsidR="0045748F" w:rsidRPr="0045748F" w:rsidRDefault="0045748F" w:rsidP="00C96B8F">
      <w:pPr>
        <w:jc w:val="both"/>
        <w:rPr>
          <w:b/>
          <w:bCs/>
        </w:rPr>
      </w:pPr>
      <w:r w:rsidRPr="0045748F">
        <w:rPr>
          <w:b/>
          <w:bCs/>
        </w:rPr>
        <w:t xml:space="preserve">I debiti e crediti </w:t>
      </w:r>
      <w:r w:rsidR="001B4736">
        <w:rPr>
          <w:b/>
          <w:bCs/>
        </w:rPr>
        <w:t>IVA</w:t>
      </w:r>
    </w:p>
    <w:p w14:paraId="739B67DF" w14:textId="77777777" w:rsidR="00AB1FD2" w:rsidRDefault="00AB1FD2" w:rsidP="00AB1FD2">
      <w:pPr>
        <w:keepNext/>
        <w:jc w:val="both"/>
      </w:pPr>
      <w:r>
        <w:rPr>
          <w:noProof/>
        </w:rPr>
        <w:drawing>
          <wp:inline distT="0" distB="0" distL="0" distR="0" wp14:anchorId="4C544E65" wp14:editId="0A1559CF">
            <wp:extent cx="6070912" cy="2552831"/>
            <wp:effectExtent l="0" t="0" r="6350" b="0"/>
            <wp:docPr id="1490145408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45408" name="Immagine 1" descr="Immagine che contiene testo, schermata, Carattere, numero&#10;&#10;Descrizione generat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70912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544D" w14:textId="0A0BBDCC" w:rsidR="00AB1FD2" w:rsidRDefault="00AB1FD2" w:rsidP="00AB1FD2">
      <w:pPr>
        <w:pStyle w:val="Didascalia"/>
        <w:jc w:val="both"/>
      </w:pPr>
      <w:r>
        <w:t xml:space="preserve">Figura </w:t>
      </w:r>
      <w:fldSimple w:instr=" SEQ Figura \* ARABIC ">
        <w:r w:rsidR="00B469EE">
          <w:rPr>
            <w:noProof/>
          </w:rPr>
          <w:t>4</w:t>
        </w:r>
      </w:fldSimple>
      <w:r>
        <w:t>: Calcolo del debito IVA</w:t>
      </w:r>
    </w:p>
    <w:p w14:paraId="06CC3AC4" w14:textId="5BA93206" w:rsidR="000A3030" w:rsidRDefault="00FE7656" w:rsidP="00C96B8F">
      <w:pPr>
        <w:jc w:val="both"/>
      </w:pPr>
      <w:r>
        <w:t xml:space="preserve">Il calcolo dell’IVA deriva da quanto </w:t>
      </w:r>
      <w:r w:rsidR="005A29D8">
        <w:t>già sopra spiegato: l</w:t>
      </w:r>
      <w:r w:rsidR="004D77BC">
        <w:t xml:space="preserve">’indicazione </w:t>
      </w:r>
      <w:r w:rsidR="005A29D8">
        <w:t xml:space="preserve">di </w:t>
      </w:r>
      <w:r w:rsidR="00722FF0">
        <w:t>un’aliquota</w:t>
      </w:r>
      <w:r w:rsidR="004D77BC">
        <w:t xml:space="preserve"> per ogni tipo di ricavo/costo consente di cal</w:t>
      </w:r>
      <w:r w:rsidR="00AB1FD2">
        <w:t xml:space="preserve">colare </w:t>
      </w:r>
      <w:r w:rsidR="00ED280D">
        <w:t xml:space="preserve">il debito/credito </w:t>
      </w:r>
      <w:r w:rsidR="009D0F00">
        <w:t>IVA. Poiché l’IVA viene versata mensilmente</w:t>
      </w:r>
      <w:r w:rsidR="004453EE">
        <w:t xml:space="preserve">, </w:t>
      </w:r>
      <w:r w:rsidR="007D5D63">
        <w:t xml:space="preserve">è necessario ipotizzare quale parte dell’eventuale debito IVA residuerà al termine dell’esercizio. </w:t>
      </w:r>
      <w:r w:rsidR="002259F3">
        <w:t xml:space="preserve">Nel caso esaminato la cifra è stata </w:t>
      </w:r>
      <w:r w:rsidR="00310070">
        <w:t xml:space="preserve">ipotizzata </w:t>
      </w:r>
      <w:r w:rsidR="002259F3">
        <w:t xml:space="preserve">pari a un dodicesimo </w:t>
      </w:r>
      <w:r w:rsidR="00310070">
        <w:t>del valore del debito totale</w:t>
      </w:r>
      <w:r w:rsidR="00B26C90">
        <w:t>.</w:t>
      </w:r>
    </w:p>
    <w:p w14:paraId="2E97CF3B" w14:textId="22E2B0E2" w:rsidR="00B26C90" w:rsidRDefault="001B4736" w:rsidP="00C96B8F">
      <w:pPr>
        <w:jc w:val="both"/>
      </w:pPr>
      <w:r>
        <w:t xml:space="preserve">Le assunzioni fino a qui sviluppate consentono di </w:t>
      </w:r>
      <w:r w:rsidR="008E6052">
        <w:t>determinare la prima parte del rendiconto finanziario previsionale.</w:t>
      </w:r>
    </w:p>
    <w:p w14:paraId="3B0B059E" w14:textId="77777777" w:rsidR="008E6052" w:rsidRDefault="008E6052" w:rsidP="008E6052">
      <w:pPr>
        <w:keepNext/>
        <w:jc w:val="both"/>
      </w:pPr>
      <w:r w:rsidRPr="008E6052">
        <w:rPr>
          <w:noProof/>
        </w:rPr>
        <w:lastRenderedPageBreak/>
        <w:drawing>
          <wp:inline distT="0" distB="0" distL="0" distR="0" wp14:anchorId="53715C1B" wp14:editId="49C42F88">
            <wp:extent cx="6026460" cy="2051155"/>
            <wp:effectExtent l="0" t="0" r="0" b="6350"/>
            <wp:docPr id="1735218212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18212" name="Immagine 1" descr="Immagine che contiene testo, schermata, Carattere, numero&#10;&#10;Descrizione generat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6460" cy="20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DD78" w14:textId="586E60BC" w:rsidR="008E6052" w:rsidRDefault="008E6052" w:rsidP="008E6052">
      <w:pPr>
        <w:pStyle w:val="Didascalia"/>
        <w:jc w:val="both"/>
      </w:pPr>
      <w:r>
        <w:t xml:space="preserve">Figura </w:t>
      </w:r>
      <w:fldSimple w:instr=" SEQ Figura \* ARABIC ">
        <w:r w:rsidR="00B469EE">
          <w:rPr>
            <w:noProof/>
          </w:rPr>
          <w:t>5</w:t>
        </w:r>
      </w:fldSimple>
      <w:r>
        <w:t>: Il calcolo del flusso finanziario dopo le variazioni del CCN</w:t>
      </w:r>
    </w:p>
    <w:p w14:paraId="5CDA34F5" w14:textId="2FF15D0E" w:rsidR="008E6052" w:rsidRDefault="008549E0" w:rsidP="008E6052">
      <w:pPr>
        <w:rPr>
          <w:b/>
          <w:bCs/>
        </w:rPr>
      </w:pPr>
      <w:r w:rsidRPr="008549E0">
        <w:rPr>
          <w:b/>
          <w:bCs/>
        </w:rPr>
        <w:t>Il calcolo del flusso della gestione reddituale</w:t>
      </w:r>
      <w:r w:rsidR="007C76DF">
        <w:rPr>
          <w:b/>
          <w:bCs/>
        </w:rPr>
        <w:t xml:space="preserve"> e la dinamica delle imposte dirette</w:t>
      </w:r>
    </w:p>
    <w:p w14:paraId="6D845FDA" w14:textId="55ECA35F" w:rsidR="00A90751" w:rsidRDefault="00C50113" w:rsidP="00A90751">
      <w:pPr>
        <w:keepNext/>
      </w:pPr>
      <w:r w:rsidRPr="00234DC9">
        <w:rPr>
          <w:noProof/>
        </w:rPr>
        <w:drawing>
          <wp:inline distT="0" distB="0" distL="0" distR="0" wp14:anchorId="7244610E" wp14:editId="444C455B">
            <wp:extent cx="5313219" cy="3467100"/>
            <wp:effectExtent l="0" t="0" r="1905" b="0"/>
            <wp:docPr id="1120547671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47671" name="Immagine 1" descr="Immagine che contiene testo, schermata, Carattere, numero&#10;&#10;Descrizione generata automaticamente"/>
                    <pic:cNvPicPr/>
                  </pic:nvPicPr>
                  <pic:blipFill rotWithShape="1">
                    <a:blip r:embed="rId19"/>
                    <a:srcRect r="390"/>
                    <a:stretch/>
                  </pic:blipFill>
                  <pic:spPr bwMode="auto">
                    <a:xfrm>
                      <a:off x="0" y="0"/>
                      <a:ext cx="5313492" cy="3467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A8AC4" w14:textId="7870AE9D" w:rsidR="00C24189" w:rsidRDefault="00A90751" w:rsidP="00A90751">
      <w:pPr>
        <w:pStyle w:val="Didascalia"/>
      </w:pPr>
      <w:r>
        <w:t xml:space="preserve">Figura </w:t>
      </w:r>
      <w:fldSimple w:instr=" SEQ Figura \* ARABIC ">
        <w:r w:rsidR="00B469EE">
          <w:rPr>
            <w:noProof/>
          </w:rPr>
          <w:t>6</w:t>
        </w:r>
      </w:fldSimple>
      <w:r>
        <w:t>: Il calcolo del flusso della gestione reddituale</w:t>
      </w:r>
    </w:p>
    <w:p w14:paraId="44E49D0A" w14:textId="786F2DB5" w:rsidR="00866D46" w:rsidRDefault="00BA6664" w:rsidP="008E6052">
      <w:r>
        <w:t>Il flusso della gestione reddituale tiene conto del</w:t>
      </w:r>
      <w:r w:rsidR="00A90751">
        <w:t xml:space="preserve"> pagamento degli interessi, delle imposte sul reddito e </w:t>
      </w:r>
      <w:r w:rsidR="00866D46">
        <w:t>della riduzione dei fondi</w:t>
      </w:r>
      <w:r w:rsidR="007847BA">
        <w:t xml:space="preserve">. Per interessi e fondi, sarà sufficiente indicare </w:t>
      </w:r>
      <w:r w:rsidR="001D7B6A">
        <w:t>le variazioni monetarie.</w:t>
      </w:r>
    </w:p>
    <w:p w14:paraId="30A33046" w14:textId="3BAA744A" w:rsidR="00C50113" w:rsidRDefault="00C50113" w:rsidP="005A76B4">
      <w:pPr>
        <w:jc w:val="both"/>
      </w:pPr>
      <w:r>
        <w:t xml:space="preserve">Per quanto concerne le imposte, occorrerà </w:t>
      </w:r>
      <w:r w:rsidR="003242D8">
        <w:t>tenere conto della dinamica tra saldi e acconti</w:t>
      </w:r>
      <w:r w:rsidR="007847BA">
        <w:t>.</w:t>
      </w:r>
    </w:p>
    <w:p w14:paraId="6A6FC455" w14:textId="3221D2FC" w:rsidR="002F70D2" w:rsidRDefault="00722FF0" w:rsidP="00C37484">
      <w:pPr>
        <w:jc w:val="both"/>
      </w:pPr>
      <w:r>
        <w:t>Innanzi tutto,</w:t>
      </w:r>
      <w:r w:rsidR="007C76DF">
        <w:t xml:space="preserve"> occorre procedere al calcolo delle imposte dovu</w:t>
      </w:r>
      <w:r w:rsidR="00701C15">
        <w:t xml:space="preserve">te </w:t>
      </w:r>
      <w:r w:rsidR="0027628F">
        <w:t xml:space="preserve">per ciascun esercizio indicando eventuali riprese in </w:t>
      </w:r>
      <w:r w:rsidR="00D36580">
        <w:t>aumento e diminuzione</w:t>
      </w:r>
      <w:r w:rsidR="00693358">
        <w:t xml:space="preserve">, così facendo sarà possibile </w:t>
      </w:r>
      <w:r w:rsidR="006E2971" w:rsidRPr="006E2971">
        <w:t>calcola</w:t>
      </w:r>
      <w:r w:rsidR="00693358">
        <w:t>re</w:t>
      </w:r>
      <w:r w:rsidR="006E2971" w:rsidRPr="006E2971">
        <w:t xml:space="preserve"> il saldo, ossia la differenza tra l'imposta dovuta sui redditi effettivamente conseguiti e gli acconti già versati. Se gli acconti risultano superiori all'imposta dovuta, il contribuente ha diritto a un rimborso o può utilizzare l'eccedenza in compensazione per futuri debiti fiscali. Al contrario, se gli acconti sono stati inferiori all'importo effettivamente dovuto, sarà necessario versare la differenza a saldo.</w:t>
      </w:r>
      <w:r w:rsidR="00E019CE">
        <w:t xml:space="preserve"> </w:t>
      </w:r>
      <w:r w:rsidR="006E2971" w:rsidRPr="006E2971">
        <w:t>In Italia, gli acconti d'imposta sono generalmente pari al 40% dell'importo totale dovuto entro il 30 giugno e al 60% entro il 30 novembre</w:t>
      </w:r>
      <w:r w:rsidR="00C37484">
        <w:t>. Quindi al 31/12 di ciascun anno l’azienda dovrebbe aver saldato interamente i propri debiti e versato interamente i propri acconti</w:t>
      </w:r>
      <w:r w:rsidR="002F70D2">
        <w:t xml:space="preserve">. </w:t>
      </w:r>
    </w:p>
    <w:p w14:paraId="0103BD1F" w14:textId="16750F6C" w:rsidR="00C37484" w:rsidRDefault="002F70D2" w:rsidP="00C37484">
      <w:pPr>
        <w:jc w:val="both"/>
      </w:pPr>
      <w:r>
        <w:lastRenderedPageBreak/>
        <w:t xml:space="preserve">Nel caso in esame </w:t>
      </w:r>
      <w:r w:rsidR="00A07BEF">
        <w:t xml:space="preserve">l’azienda non aveva acconti 2024 </w:t>
      </w:r>
      <w:r w:rsidR="00722FF0">
        <w:t>versati; pertanto,</w:t>
      </w:r>
      <w:r w:rsidR="00A07BEF">
        <w:t xml:space="preserve"> il carico finanziario sul 2025 risulta il doppio </w:t>
      </w:r>
      <w:proofErr w:type="gramStart"/>
      <w:r w:rsidR="00A07BEF">
        <w:t>delle imposta</w:t>
      </w:r>
      <w:proofErr w:type="gramEnd"/>
      <w:r w:rsidR="00A07BEF">
        <w:t xml:space="preserve"> calcolate per il 2024.</w:t>
      </w:r>
      <w:r w:rsidR="002D7480">
        <w:t xml:space="preserve"> </w:t>
      </w:r>
    </w:p>
    <w:p w14:paraId="3016E01C" w14:textId="3A8C276E" w:rsidR="007847BA" w:rsidRDefault="007B2B8A" w:rsidP="00C37484">
      <w:pPr>
        <w:jc w:val="both"/>
        <w:rPr>
          <w:b/>
          <w:bCs/>
        </w:rPr>
      </w:pPr>
      <w:r>
        <w:rPr>
          <w:b/>
          <w:bCs/>
        </w:rPr>
        <w:t>Investimenti</w:t>
      </w:r>
    </w:p>
    <w:p w14:paraId="572AA275" w14:textId="52914B95" w:rsidR="007B2B8A" w:rsidRDefault="00E653E4" w:rsidP="00C37484">
      <w:pPr>
        <w:jc w:val="both"/>
      </w:pPr>
      <w:r>
        <w:t>La lista degli investimenti è già stata redatta in occasione del calcolo degli ammortamenti</w:t>
      </w:r>
      <w:r w:rsidR="00E1551A">
        <w:t>, ora si tratta solo di indicare</w:t>
      </w:r>
      <w:r w:rsidR="00200BA6">
        <w:t>: l’eventuale IVA,</w:t>
      </w:r>
      <w:r w:rsidR="00E1551A">
        <w:t xml:space="preserve"> il metodo di pagamento</w:t>
      </w:r>
      <w:r w:rsidR="00BB2767">
        <w:t>,</w:t>
      </w:r>
      <w:r w:rsidR="00D82C17">
        <w:t xml:space="preserve"> l’eventuale debito residuo al </w:t>
      </w:r>
      <w:r w:rsidR="003E0C2F">
        <w:t>termine di ciascun esercizio</w:t>
      </w:r>
      <w:r w:rsidR="00BB2767">
        <w:t xml:space="preserve"> nonché flussi da disinvestimenti.</w:t>
      </w:r>
    </w:p>
    <w:p w14:paraId="2BFA7B72" w14:textId="77777777" w:rsidR="00715BAF" w:rsidRDefault="00715BAF" w:rsidP="00715BAF">
      <w:pPr>
        <w:keepNext/>
        <w:jc w:val="both"/>
      </w:pPr>
      <w:r w:rsidRPr="00715BAF">
        <w:rPr>
          <w:noProof/>
        </w:rPr>
        <w:drawing>
          <wp:inline distT="0" distB="0" distL="0" distR="0" wp14:anchorId="1F19F521" wp14:editId="732B6AA5">
            <wp:extent cx="4613564" cy="2012949"/>
            <wp:effectExtent l="0" t="0" r="0" b="6985"/>
            <wp:docPr id="503126103" name="Immagine 1" descr="Immagine che contiene testo, schermata, Carattere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26103" name="Immagine 1" descr="Immagine che contiene testo, schermata, Carattere, linea&#10;&#10;Descrizione generata automaticamente"/>
                    <pic:cNvPicPr/>
                  </pic:nvPicPr>
                  <pic:blipFill rotWithShape="1">
                    <a:blip r:embed="rId20"/>
                    <a:srcRect r="1016"/>
                    <a:stretch/>
                  </pic:blipFill>
                  <pic:spPr bwMode="auto">
                    <a:xfrm>
                      <a:off x="0" y="0"/>
                      <a:ext cx="4613802" cy="2013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562773" w14:textId="43E3BC0F" w:rsidR="003E0C2F" w:rsidRPr="00E653E4" w:rsidRDefault="00715BAF" w:rsidP="00715BAF">
      <w:pPr>
        <w:pStyle w:val="Didascalia"/>
        <w:jc w:val="both"/>
      </w:pPr>
      <w:r>
        <w:t xml:space="preserve">Figura </w:t>
      </w:r>
      <w:fldSimple w:instr=" SEQ Figura \* ARABIC ">
        <w:r w:rsidR="00B469EE">
          <w:rPr>
            <w:noProof/>
          </w:rPr>
          <w:t>7</w:t>
        </w:r>
      </w:fldSimple>
      <w:r>
        <w:t>: Investimenti e disinvestimenti</w:t>
      </w:r>
    </w:p>
    <w:p w14:paraId="285D33A3" w14:textId="7372F873" w:rsidR="00320E3C" w:rsidRDefault="00D275B2" w:rsidP="008E6052">
      <w:pPr>
        <w:rPr>
          <w:b/>
          <w:bCs/>
        </w:rPr>
      </w:pPr>
      <w:r>
        <w:rPr>
          <w:b/>
          <w:bCs/>
        </w:rPr>
        <w:t>Fonti finanziarie</w:t>
      </w:r>
    </w:p>
    <w:p w14:paraId="4E278ED3" w14:textId="77777777" w:rsidR="00E678C0" w:rsidRDefault="00D275B2" w:rsidP="008E6052">
      <w:r w:rsidRPr="00D275B2">
        <w:t>Le fonti finanziarie sono di due tipi</w:t>
      </w:r>
      <w:r w:rsidR="00870951">
        <w:t xml:space="preserve">: mezzi </w:t>
      </w:r>
      <w:r w:rsidR="00E678C0">
        <w:t>di terzi</w:t>
      </w:r>
      <w:r w:rsidR="004B3405" w:rsidRPr="004B3405">
        <w:t xml:space="preserve"> e mezzi </w:t>
      </w:r>
      <w:r w:rsidR="00E678C0">
        <w:t>propri</w:t>
      </w:r>
      <w:r w:rsidR="00870951">
        <w:t>.</w:t>
      </w:r>
      <w:r w:rsidR="004B3405" w:rsidRPr="004B3405">
        <w:t xml:space="preserve"> </w:t>
      </w:r>
    </w:p>
    <w:p w14:paraId="0F65B10D" w14:textId="404940D0" w:rsidR="00E678C0" w:rsidRDefault="00E678C0" w:rsidP="005C3573">
      <w:pPr>
        <w:jc w:val="both"/>
      </w:pPr>
      <w:r>
        <w:t>P</w:t>
      </w:r>
      <w:r w:rsidRPr="004B3405">
        <w:t>er quanto concerne le fonti di terzi</w:t>
      </w:r>
      <w:r w:rsidR="005C3573">
        <w:t>,</w:t>
      </w:r>
      <w:r w:rsidRPr="004B3405">
        <w:t xml:space="preserve"> dovremo considerare le accensioni dei finanziamenti e il rimborso delle relative rate</w:t>
      </w:r>
      <w:r w:rsidR="0055079F">
        <w:t xml:space="preserve">, che </w:t>
      </w:r>
      <w:r w:rsidR="00732B6E">
        <w:t>verranno ricavate</w:t>
      </w:r>
      <w:r w:rsidR="0055079F">
        <w:t xml:space="preserve"> dal fogl</w:t>
      </w:r>
      <w:r w:rsidR="00997D43">
        <w:t>i</w:t>
      </w:r>
      <w:r w:rsidR="0055079F">
        <w:t>o</w:t>
      </w:r>
      <w:r w:rsidR="00A33E85">
        <w:t xml:space="preserve"> </w:t>
      </w:r>
      <w:r w:rsidR="00C54C1C">
        <w:t>dedicato ai piani di ammortamento.</w:t>
      </w:r>
    </w:p>
    <w:p w14:paraId="4418BF32" w14:textId="4B45E9D5" w:rsidR="00870951" w:rsidRDefault="00870951" w:rsidP="008E6052">
      <w:r>
        <w:t>P</w:t>
      </w:r>
      <w:r w:rsidR="004B3405" w:rsidRPr="004B3405">
        <w:t>er quanto concerne i mezzi propri</w:t>
      </w:r>
      <w:r>
        <w:t>,</w:t>
      </w:r>
      <w:r w:rsidR="004B3405" w:rsidRPr="004B3405">
        <w:t xml:space="preserve"> dovremo quindi considerare le variazioni di capital</w:t>
      </w:r>
      <w:r>
        <w:t>e</w:t>
      </w:r>
      <w:r w:rsidR="004B3405" w:rsidRPr="004B3405">
        <w:t xml:space="preserve"> o</w:t>
      </w:r>
      <w:r>
        <w:t>,</w:t>
      </w:r>
      <w:r w:rsidR="004B3405" w:rsidRPr="004B3405">
        <w:t xml:space="preserve"> al contrario le distribuzioni di eventuali dividendi</w:t>
      </w:r>
      <w:r>
        <w:t>.</w:t>
      </w:r>
    </w:p>
    <w:p w14:paraId="4E99638F" w14:textId="77777777" w:rsidR="00C446E3" w:rsidRDefault="00C446E3" w:rsidP="00C446E3">
      <w:pPr>
        <w:keepNext/>
      </w:pPr>
      <w:r>
        <w:rPr>
          <w:noProof/>
        </w:rPr>
        <w:drawing>
          <wp:inline distT="0" distB="0" distL="0" distR="0" wp14:anchorId="1D565F64" wp14:editId="0C85274D">
            <wp:extent cx="6120130" cy="2856230"/>
            <wp:effectExtent l="0" t="0" r="0" b="1270"/>
            <wp:docPr id="2129476478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76478" name="Immagine 1" descr="Immagine che contiene testo, schermata, Carattere, numero&#10;&#10;Descrizione generat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BAC1" w14:textId="2798EF69" w:rsidR="00C54C1C" w:rsidRDefault="00C446E3" w:rsidP="00C446E3">
      <w:pPr>
        <w:pStyle w:val="Didascalia"/>
      </w:pPr>
      <w:r>
        <w:t xml:space="preserve">Figura </w:t>
      </w:r>
      <w:fldSimple w:instr=" SEQ Figura \* ARABIC ">
        <w:r w:rsidR="00B469EE">
          <w:rPr>
            <w:noProof/>
          </w:rPr>
          <w:t>8</w:t>
        </w:r>
      </w:fldSimple>
      <w:r>
        <w:t>: Le fonti finanziarie proprie e la determinazione del flusso di cassa</w:t>
      </w:r>
    </w:p>
    <w:p w14:paraId="4862E351" w14:textId="22C46521" w:rsidR="0055079F" w:rsidRDefault="00DD07C8" w:rsidP="0055079F">
      <w:pPr>
        <w:jc w:val="both"/>
      </w:pPr>
      <w:r>
        <w:lastRenderedPageBreak/>
        <w:t xml:space="preserve">Nell’esempio l’azienda prevede </w:t>
      </w:r>
      <w:r w:rsidR="00E8611E">
        <w:t>nuova liquidità apportata dai soci per 200.000,00 che contribui</w:t>
      </w:r>
      <w:r w:rsidR="000162DC">
        <w:t>scono alla determinazione del</w:t>
      </w:r>
      <w:r w:rsidR="00B93443">
        <w:t>la variazione della posizione finanziaria netta</w:t>
      </w:r>
      <w:r w:rsidR="006B3E24">
        <w:t xml:space="preserve"> che </w:t>
      </w:r>
      <w:r w:rsidR="0055079F" w:rsidRPr="00154D9F">
        <w:t>potrà essere destinat</w:t>
      </w:r>
      <w:r w:rsidR="006B3E24">
        <w:t>a</w:t>
      </w:r>
      <w:r w:rsidR="0055079F" w:rsidRPr="00154D9F">
        <w:t xml:space="preserve"> </w:t>
      </w:r>
      <w:r w:rsidR="006B3E24">
        <w:t xml:space="preserve">per variare i debiti bancari o per </w:t>
      </w:r>
      <w:r w:rsidR="00A13A3F">
        <w:t>incrementare le disponibilità liquide.</w:t>
      </w:r>
    </w:p>
    <w:p w14:paraId="45D328D4" w14:textId="1E5DC976" w:rsidR="00A13A3F" w:rsidRDefault="00A13A3F" w:rsidP="0055079F">
      <w:pPr>
        <w:jc w:val="both"/>
        <w:rPr>
          <w:b/>
          <w:bCs/>
        </w:rPr>
      </w:pPr>
      <w:r w:rsidRPr="00A13A3F">
        <w:rPr>
          <w:b/>
          <w:bCs/>
        </w:rPr>
        <w:t>Lo Stato Patrimoniale Previsionale</w:t>
      </w:r>
    </w:p>
    <w:p w14:paraId="06552E83" w14:textId="09E674CE" w:rsidR="00A13A3F" w:rsidRDefault="00A13A3F" w:rsidP="0055079F">
      <w:pPr>
        <w:jc w:val="both"/>
      </w:pPr>
      <w:r>
        <w:t xml:space="preserve">Completato il rendiconto finanziario abbiamo tutti </w:t>
      </w:r>
      <w:r w:rsidR="00B2454C">
        <w:t xml:space="preserve">gli elementi per compilare lo stato patrimoniale previsionale: </w:t>
      </w:r>
      <w:r w:rsidR="002F3AFF">
        <w:t xml:space="preserve">le immobilizzazioni saranno aumentate degli investimenti e ridotte da ammortamenti e cessioni, </w:t>
      </w:r>
      <w:r w:rsidR="00B2454C">
        <w:t>le variazioni delle voci del circolante sommate ai saldi iniziali daranno i saldi finali, i fondi saranno incrementati de</w:t>
      </w:r>
      <w:r w:rsidR="00FA434A">
        <w:t>gli accantonamenti e diminuiti delle distribuzioni</w:t>
      </w:r>
      <w:r w:rsidR="002F3AFF">
        <w:t xml:space="preserve">, </w:t>
      </w:r>
      <w:r w:rsidR="00066BB8">
        <w:t xml:space="preserve">il patrimonio netto </w:t>
      </w:r>
      <w:r w:rsidR="005845D8">
        <w:t xml:space="preserve">sommato algebricamente al </w:t>
      </w:r>
      <w:r w:rsidR="00066BB8">
        <w:t xml:space="preserve">risultato netto </w:t>
      </w:r>
      <w:r w:rsidR="005845D8">
        <w:t>godrà</w:t>
      </w:r>
      <w:r w:rsidR="00066BB8">
        <w:t xml:space="preserve"> degli apporti e </w:t>
      </w:r>
      <w:r w:rsidR="005845D8">
        <w:t>si ridurrà per le distribuzioni, i finanziamenti</w:t>
      </w:r>
      <w:r w:rsidR="00EB3F1C">
        <w:t xml:space="preserve"> saranno incrementati delle accensioni e decrementati dal pagamento delle rate</w:t>
      </w:r>
      <w:r w:rsidR="00F72176">
        <w:t xml:space="preserve"> infine la posizione finanziaria netta varierà nelle sue componenti attive e passive per effetto del </w:t>
      </w:r>
      <w:r w:rsidR="00666061">
        <w:t xml:space="preserve">cash flow netto. </w:t>
      </w:r>
    </w:p>
    <w:p w14:paraId="7E01D8A1" w14:textId="77777777" w:rsidR="00CD4980" w:rsidRDefault="00CD4980" w:rsidP="00CD4980">
      <w:pPr>
        <w:keepNext/>
        <w:jc w:val="both"/>
      </w:pPr>
      <w:r>
        <w:rPr>
          <w:noProof/>
        </w:rPr>
        <w:drawing>
          <wp:inline distT="0" distB="0" distL="0" distR="0" wp14:anchorId="1FCEF249" wp14:editId="0FE13283">
            <wp:extent cx="4305521" cy="3575234"/>
            <wp:effectExtent l="0" t="0" r="0" b="6350"/>
            <wp:docPr id="1141728272" name="Immagine 1" descr="Immagine che contiene testo, schermata, numero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28272" name="Immagine 1" descr="Immagine che contiene testo, schermata, numero, Carattere&#10;&#10;Descrizione generat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35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6E57" w14:textId="3F521ECB" w:rsidR="00666061" w:rsidRDefault="00CD4980" w:rsidP="00CD4980">
      <w:pPr>
        <w:pStyle w:val="Didascalia"/>
        <w:jc w:val="both"/>
      </w:pPr>
      <w:r>
        <w:t xml:space="preserve">Figura </w:t>
      </w:r>
      <w:fldSimple w:instr=" SEQ Figura \* ARABIC ">
        <w:r w:rsidR="00B469EE">
          <w:rPr>
            <w:noProof/>
          </w:rPr>
          <w:t>9</w:t>
        </w:r>
      </w:fldSimple>
      <w:r>
        <w:t>: Conto economico e Stato Patrimoniale previsionale</w:t>
      </w:r>
    </w:p>
    <w:p w14:paraId="5F38F4D0" w14:textId="19E78BCA" w:rsidR="00133A1A" w:rsidRDefault="00133A1A" w:rsidP="00133A1A">
      <w:pPr>
        <w:rPr>
          <w:b/>
          <w:bCs/>
        </w:rPr>
      </w:pPr>
      <w:r w:rsidRPr="00133A1A">
        <w:rPr>
          <w:b/>
          <w:bCs/>
        </w:rPr>
        <w:t>Il monitoraggio</w:t>
      </w:r>
    </w:p>
    <w:p w14:paraId="5A9FE697" w14:textId="3176BF42" w:rsidR="00133A1A" w:rsidRDefault="00DE15FC" w:rsidP="00DE15FC">
      <w:pPr>
        <w:jc w:val="both"/>
      </w:pPr>
      <w:r w:rsidRPr="00DE15FC">
        <w:t xml:space="preserve">La </w:t>
      </w:r>
      <w:proofErr w:type="spellStart"/>
      <w:r w:rsidRPr="00DE15FC">
        <w:t>mensilizzazione</w:t>
      </w:r>
      <w:proofErr w:type="spellEnd"/>
      <w:r w:rsidRPr="00DE15FC">
        <w:t xml:space="preserve"> è fondamentale per ottenere un buon monitoraggio delle performance aziendali. Attraverso la suddivisione dei dati in periodi mensili, è possibile individuare con maggiore precisione le variazioni e le tendenze nel tempo. Questo approccio consente di rilevare tempestivamente eventuali anomalie o problemi, permettendo di intervenire prontamente per correggerli. Inoltre, la </w:t>
      </w:r>
      <w:proofErr w:type="spellStart"/>
      <w:r w:rsidRPr="00DE15FC">
        <w:t>mensilizzazione</w:t>
      </w:r>
      <w:proofErr w:type="spellEnd"/>
      <w:r w:rsidRPr="00DE15FC">
        <w:t xml:space="preserve"> facilita la comparazione dei dati tra diversi periodi, migliorando la capacità di analisi e la pianificazione strategica. </w:t>
      </w:r>
    </w:p>
    <w:p w14:paraId="65A47EB1" w14:textId="77777777" w:rsidR="00B469EE" w:rsidRDefault="00B469EE" w:rsidP="00B469EE">
      <w:pPr>
        <w:keepNext/>
        <w:jc w:val="both"/>
      </w:pPr>
      <w:r w:rsidRPr="00B469EE">
        <w:rPr>
          <w:noProof/>
        </w:rPr>
        <w:lastRenderedPageBreak/>
        <w:drawing>
          <wp:inline distT="0" distB="0" distL="0" distR="0" wp14:anchorId="4DB73054" wp14:editId="65FCF1BD">
            <wp:extent cx="6120130" cy="1219200"/>
            <wp:effectExtent l="0" t="0" r="0" b="0"/>
            <wp:docPr id="1277001327" name="Immagine 1" descr="Immagine che contiene testo, schermata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01327" name="Immagine 1" descr="Immagine che contiene testo, schermata, linea, Carattere&#10;&#10;Descrizione generat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545F" w14:textId="28FB5005" w:rsidR="00B469EE" w:rsidRDefault="00B469EE" w:rsidP="00B469EE">
      <w:pPr>
        <w:pStyle w:val="Didascalia"/>
        <w:jc w:val="both"/>
      </w:pPr>
      <w:r>
        <w:t xml:space="preserve">Figura </w:t>
      </w:r>
      <w:fldSimple w:instr=" SEQ Figura \* ARABIC ">
        <w:r>
          <w:rPr>
            <w:noProof/>
          </w:rPr>
          <w:t>10</w:t>
        </w:r>
      </w:fldSimple>
      <w:r>
        <w:t xml:space="preserve">: Lo schema di </w:t>
      </w:r>
      <w:proofErr w:type="spellStart"/>
      <w:r>
        <w:t>mensilizzazione</w:t>
      </w:r>
      <w:proofErr w:type="spellEnd"/>
    </w:p>
    <w:p w14:paraId="54ECACE6" w14:textId="7C102B8B" w:rsidR="00DE15FC" w:rsidRDefault="00DE15FC" w:rsidP="00DE15FC">
      <w:pPr>
        <w:jc w:val="both"/>
      </w:pPr>
      <w:r>
        <w:t xml:space="preserve">Nel tool il tema è affrontato </w:t>
      </w:r>
      <w:r w:rsidR="00CC5EE1">
        <w:t>consentendo all’utente di assegnare ad ogni voce del conto economico uno schema di distribuzione mensile degli importi c</w:t>
      </w:r>
      <w:r w:rsidR="00A255CB">
        <w:t>ome indicato in figura</w:t>
      </w:r>
      <w:r w:rsidR="006C663D">
        <w:t>.</w:t>
      </w:r>
    </w:p>
    <w:p w14:paraId="1AE7EB4F" w14:textId="37CF74B5" w:rsidR="00792F0A" w:rsidRDefault="00E419E5" w:rsidP="00DE15FC">
      <w:pPr>
        <w:jc w:val="both"/>
      </w:pPr>
      <w:r>
        <w:t>Si conclude così la redazione della parte numerica di un business plan che ci ha accompagnato per tre articoli</w:t>
      </w:r>
      <w:r w:rsidR="00711F94">
        <w:t xml:space="preserve">. </w:t>
      </w:r>
      <w:r w:rsidR="00711F94" w:rsidRPr="00711F94">
        <w:t xml:space="preserve">Per quanto possa sembrare complesso redigere un Business Plan, non è niente rispetto alla sfida di realizzarlo! </w:t>
      </w:r>
      <w:r w:rsidR="00711F94">
        <w:t xml:space="preserve">Avere avuto la pazienza di leggere e comprendere quanto abbiamo raccontato può essere considerata </w:t>
      </w:r>
      <w:r w:rsidR="00711F94" w:rsidRPr="00711F94">
        <w:t xml:space="preserve">già </w:t>
      </w:r>
      <w:r w:rsidR="008A3C76">
        <w:t>una buona</w:t>
      </w:r>
      <w:r w:rsidR="00711F94" w:rsidRPr="00711F94">
        <w:t xml:space="preserve"> metà strada. </w:t>
      </w:r>
    </w:p>
    <w:p w14:paraId="65B155EF" w14:textId="2CBD1CB2" w:rsidR="006C663D" w:rsidRPr="00DE15FC" w:rsidRDefault="00711F94" w:rsidP="00DE15FC">
      <w:pPr>
        <w:jc w:val="both"/>
      </w:pPr>
      <w:r w:rsidRPr="00711F94">
        <w:t xml:space="preserve">Ricorda, ogni grande impresa inizia con un piano... </w:t>
      </w:r>
      <w:r w:rsidR="00F44DB6">
        <w:t>E</w:t>
      </w:r>
      <w:r w:rsidRPr="00711F94">
        <w:t xml:space="preserve"> </w:t>
      </w:r>
      <w:r w:rsidR="00792F0A">
        <w:t xml:space="preserve">ogni piano con </w:t>
      </w:r>
      <w:r w:rsidRPr="00711F94">
        <w:t>una buona dose di caffè!</w:t>
      </w:r>
    </w:p>
    <w:sectPr w:rsidR="006C663D" w:rsidRPr="00DE15F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19597" w14:textId="77777777" w:rsidR="00200DCD" w:rsidRDefault="00200DCD" w:rsidP="00CC187D">
      <w:pPr>
        <w:spacing w:after="0" w:line="240" w:lineRule="auto"/>
      </w:pPr>
      <w:r>
        <w:separator/>
      </w:r>
    </w:p>
  </w:endnote>
  <w:endnote w:type="continuationSeparator" w:id="0">
    <w:p w14:paraId="525A287E" w14:textId="77777777" w:rsidR="00200DCD" w:rsidRDefault="00200DCD" w:rsidP="00CC1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7FA21" w14:textId="77777777" w:rsidR="00200DCD" w:rsidRDefault="00200DCD" w:rsidP="00CC187D">
      <w:pPr>
        <w:spacing w:after="0" w:line="240" w:lineRule="auto"/>
      </w:pPr>
      <w:r>
        <w:separator/>
      </w:r>
    </w:p>
  </w:footnote>
  <w:footnote w:type="continuationSeparator" w:id="0">
    <w:p w14:paraId="73FB011B" w14:textId="77777777" w:rsidR="00200DCD" w:rsidRDefault="00200DCD" w:rsidP="00CC18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170F"/>
    <w:multiLevelType w:val="multilevel"/>
    <w:tmpl w:val="7F30B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67901"/>
    <w:multiLevelType w:val="hybridMultilevel"/>
    <w:tmpl w:val="EE8894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1A63C0"/>
    <w:multiLevelType w:val="multilevel"/>
    <w:tmpl w:val="1398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405AB8"/>
    <w:multiLevelType w:val="multilevel"/>
    <w:tmpl w:val="15E0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21316"/>
    <w:multiLevelType w:val="hybridMultilevel"/>
    <w:tmpl w:val="D02E12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95098F"/>
    <w:multiLevelType w:val="multilevel"/>
    <w:tmpl w:val="DDAC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70707"/>
    <w:multiLevelType w:val="multilevel"/>
    <w:tmpl w:val="819C9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1E1CF5"/>
    <w:multiLevelType w:val="multilevel"/>
    <w:tmpl w:val="1610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5129FB"/>
    <w:multiLevelType w:val="multilevel"/>
    <w:tmpl w:val="9700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9127734">
    <w:abstractNumId w:val="1"/>
  </w:num>
  <w:num w:numId="2" w16cid:durableId="298078912">
    <w:abstractNumId w:val="4"/>
  </w:num>
  <w:num w:numId="3" w16cid:durableId="1829978289">
    <w:abstractNumId w:val="8"/>
  </w:num>
  <w:num w:numId="4" w16cid:durableId="1119228882">
    <w:abstractNumId w:val="2"/>
  </w:num>
  <w:num w:numId="5" w16cid:durableId="2055691886">
    <w:abstractNumId w:val="0"/>
  </w:num>
  <w:num w:numId="6" w16cid:durableId="2710067">
    <w:abstractNumId w:val="6"/>
  </w:num>
  <w:num w:numId="7" w16cid:durableId="1856534733">
    <w:abstractNumId w:val="3"/>
  </w:num>
  <w:num w:numId="8" w16cid:durableId="359936912">
    <w:abstractNumId w:val="7"/>
  </w:num>
  <w:num w:numId="9" w16cid:durableId="19398674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25"/>
    <w:rsid w:val="000002CE"/>
    <w:rsid w:val="00002E73"/>
    <w:rsid w:val="00010285"/>
    <w:rsid w:val="000162DC"/>
    <w:rsid w:val="00025B8B"/>
    <w:rsid w:val="000265F3"/>
    <w:rsid w:val="000444C6"/>
    <w:rsid w:val="000468F3"/>
    <w:rsid w:val="00047A57"/>
    <w:rsid w:val="000516CF"/>
    <w:rsid w:val="000522F3"/>
    <w:rsid w:val="00053B86"/>
    <w:rsid w:val="000543C6"/>
    <w:rsid w:val="0006126A"/>
    <w:rsid w:val="00061EEE"/>
    <w:rsid w:val="00064BAD"/>
    <w:rsid w:val="00066BB8"/>
    <w:rsid w:val="00096BB5"/>
    <w:rsid w:val="00096DC0"/>
    <w:rsid w:val="000A3030"/>
    <w:rsid w:val="000A5B01"/>
    <w:rsid w:val="000A5DC5"/>
    <w:rsid w:val="000B0D8B"/>
    <w:rsid w:val="000B561C"/>
    <w:rsid w:val="000B7FCA"/>
    <w:rsid w:val="000D2B3E"/>
    <w:rsid w:val="000E0AA0"/>
    <w:rsid w:val="000E7116"/>
    <w:rsid w:val="00106013"/>
    <w:rsid w:val="0010674A"/>
    <w:rsid w:val="0011381E"/>
    <w:rsid w:val="00113BD4"/>
    <w:rsid w:val="0011627A"/>
    <w:rsid w:val="0012051F"/>
    <w:rsid w:val="00123F5A"/>
    <w:rsid w:val="00133A1A"/>
    <w:rsid w:val="00136197"/>
    <w:rsid w:val="00141C93"/>
    <w:rsid w:val="0014335E"/>
    <w:rsid w:val="00154483"/>
    <w:rsid w:val="00154D9F"/>
    <w:rsid w:val="00157EF9"/>
    <w:rsid w:val="001626D6"/>
    <w:rsid w:val="00162A90"/>
    <w:rsid w:val="00171F1E"/>
    <w:rsid w:val="00174EBB"/>
    <w:rsid w:val="00183D5B"/>
    <w:rsid w:val="0018441C"/>
    <w:rsid w:val="001850C4"/>
    <w:rsid w:val="00186F1E"/>
    <w:rsid w:val="00197664"/>
    <w:rsid w:val="001A3EEA"/>
    <w:rsid w:val="001A46D6"/>
    <w:rsid w:val="001B4736"/>
    <w:rsid w:val="001B75DA"/>
    <w:rsid w:val="001C3B52"/>
    <w:rsid w:val="001D5245"/>
    <w:rsid w:val="001D61FF"/>
    <w:rsid w:val="001D7B6A"/>
    <w:rsid w:val="001E0DFD"/>
    <w:rsid w:val="001E2349"/>
    <w:rsid w:val="001E3501"/>
    <w:rsid w:val="001E4277"/>
    <w:rsid w:val="001E59E7"/>
    <w:rsid w:val="001F0E80"/>
    <w:rsid w:val="001F1CCE"/>
    <w:rsid w:val="001F7D7D"/>
    <w:rsid w:val="00200BA6"/>
    <w:rsid w:val="00200DCD"/>
    <w:rsid w:val="00216AA6"/>
    <w:rsid w:val="00222F0D"/>
    <w:rsid w:val="0022359E"/>
    <w:rsid w:val="002259F3"/>
    <w:rsid w:val="00234DC9"/>
    <w:rsid w:val="00240C3B"/>
    <w:rsid w:val="00241284"/>
    <w:rsid w:val="00242BC1"/>
    <w:rsid w:val="00243750"/>
    <w:rsid w:val="00261CBC"/>
    <w:rsid w:val="00264C8D"/>
    <w:rsid w:val="00274E01"/>
    <w:rsid w:val="0027628F"/>
    <w:rsid w:val="00280F8D"/>
    <w:rsid w:val="002816F1"/>
    <w:rsid w:val="00281B74"/>
    <w:rsid w:val="002861A3"/>
    <w:rsid w:val="0029400A"/>
    <w:rsid w:val="00297C6F"/>
    <w:rsid w:val="002A4538"/>
    <w:rsid w:val="002B3602"/>
    <w:rsid w:val="002B62F4"/>
    <w:rsid w:val="002B6E22"/>
    <w:rsid w:val="002C19AE"/>
    <w:rsid w:val="002C5317"/>
    <w:rsid w:val="002C65B7"/>
    <w:rsid w:val="002D7480"/>
    <w:rsid w:val="002E33AC"/>
    <w:rsid w:val="002E4813"/>
    <w:rsid w:val="002F3AFF"/>
    <w:rsid w:val="002F6E42"/>
    <w:rsid w:val="002F70D2"/>
    <w:rsid w:val="00302A9E"/>
    <w:rsid w:val="003040EA"/>
    <w:rsid w:val="0030706C"/>
    <w:rsid w:val="00310070"/>
    <w:rsid w:val="00320E3C"/>
    <w:rsid w:val="003242D8"/>
    <w:rsid w:val="003272C6"/>
    <w:rsid w:val="003333BF"/>
    <w:rsid w:val="00345D19"/>
    <w:rsid w:val="00354E99"/>
    <w:rsid w:val="0037064C"/>
    <w:rsid w:val="00372231"/>
    <w:rsid w:val="003744CF"/>
    <w:rsid w:val="003756FF"/>
    <w:rsid w:val="00381886"/>
    <w:rsid w:val="003825CC"/>
    <w:rsid w:val="003904B8"/>
    <w:rsid w:val="00395083"/>
    <w:rsid w:val="003A098B"/>
    <w:rsid w:val="003B4284"/>
    <w:rsid w:val="003B5EB9"/>
    <w:rsid w:val="003C4D0E"/>
    <w:rsid w:val="003D596A"/>
    <w:rsid w:val="003E0C2F"/>
    <w:rsid w:val="00407DD1"/>
    <w:rsid w:val="004121CD"/>
    <w:rsid w:val="0041573F"/>
    <w:rsid w:val="00424EC9"/>
    <w:rsid w:val="00436285"/>
    <w:rsid w:val="004453EE"/>
    <w:rsid w:val="00445624"/>
    <w:rsid w:val="00447D89"/>
    <w:rsid w:val="0045748F"/>
    <w:rsid w:val="004633DF"/>
    <w:rsid w:val="004664B5"/>
    <w:rsid w:val="00467699"/>
    <w:rsid w:val="00473F25"/>
    <w:rsid w:val="00482DD3"/>
    <w:rsid w:val="00487FD5"/>
    <w:rsid w:val="004A6063"/>
    <w:rsid w:val="004B284C"/>
    <w:rsid w:val="004B3405"/>
    <w:rsid w:val="004B6921"/>
    <w:rsid w:val="004C3E58"/>
    <w:rsid w:val="004C5F7B"/>
    <w:rsid w:val="004C6ADE"/>
    <w:rsid w:val="004D1969"/>
    <w:rsid w:val="004D4FF4"/>
    <w:rsid w:val="004D77BC"/>
    <w:rsid w:val="004E61B8"/>
    <w:rsid w:val="004F4873"/>
    <w:rsid w:val="005008F5"/>
    <w:rsid w:val="00501D55"/>
    <w:rsid w:val="005051BB"/>
    <w:rsid w:val="00505865"/>
    <w:rsid w:val="0050695A"/>
    <w:rsid w:val="0051273C"/>
    <w:rsid w:val="00515E4C"/>
    <w:rsid w:val="0051739F"/>
    <w:rsid w:val="00517AFE"/>
    <w:rsid w:val="005244F7"/>
    <w:rsid w:val="00532A76"/>
    <w:rsid w:val="00540CDA"/>
    <w:rsid w:val="00546661"/>
    <w:rsid w:val="0055079F"/>
    <w:rsid w:val="00555432"/>
    <w:rsid w:val="0056313E"/>
    <w:rsid w:val="00573A3D"/>
    <w:rsid w:val="00576945"/>
    <w:rsid w:val="00580A0E"/>
    <w:rsid w:val="005845D8"/>
    <w:rsid w:val="005857AB"/>
    <w:rsid w:val="00596A2E"/>
    <w:rsid w:val="00596F88"/>
    <w:rsid w:val="005A2207"/>
    <w:rsid w:val="005A29D8"/>
    <w:rsid w:val="005A615B"/>
    <w:rsid w:val="005A6A38"/>
    <w:rsid w:val="005A76B4"/>
    <w:rsid w:val="005C042D"/>
    <w:rsid w:val="005C2487"/>
    <w:rsid w:val="005C3573"/>
    <w:rsid w:val="005C3EF8"/>
    <w:rsid w:val="005C4326"/>
    <w:rsid w:val="005D0DAB"/>
    <w:rsid w:val="005E2C9B"/>
    <w:rsid w:val="005F140D"/>
    <w:rsid w:val="005F478D"/>
    <w:rsid w:val="005F4D0A"/>
    <w:rsid w:val="005F5436"/>
    <w:rsid w:val="00605B97"/>
    <w:rsid w:val="0061785C"/>
    <w:rsid w:val="0062043D"/>
    <w:rsid w:val="00621588"/>
    <w:rsid w:val="00622A3C"/>
    <w:rsid w:val="00626A46"/>
    <w:rsid w:val="00627B8B"/>
    <w:rsid w:val="00635765"/>
    <w:rsid w:val="0064647B"/>
    <w:rsid w:val="00646C12"/>
    <w:rsid w:val="00651338"/>
    <w:rsid w:val="006538E4"/>
    <w:rsid w:val="00657001"/>
    <w:rsid w:val="00660970"/>
    <w:rsid w:val="006624ED"/>
    <w:rsid w:val="00664684"/>
    <w:rsid w:val="00666061"/>
    <w:rsid w:val="0066674D"/>
    <w:rsid w:val="00676E25"/>
    <w:rsid w:val="00680618"/>
    <w:rsid w:val="006825B1"/>
    <w:rsid w:val="0068776C"/>
    <w:rsid w:val="006915D3"/>
    <w:rsid w:val="006918AB"/>
    <w:rsid w:val="006924EA"/>
    <w:rsid w:val="00693358"/>
    <w:rsid w:val="006A1CE9"/>
    <w:rsid w:val="006A444F"/>
    <w:rsid w:val="006B3E24"/>
    <w:rsid w:val="006B48BD"/>
    <w:rsid w:val="006C40BD"/>
    <w:rsid w:val="006C663D"/>
    <w:rsid w:val="006D529A"/>
    <w:rsid w:val="006D5C63"/>
    <w:rsid w:val="006D6B8C"/>
    <w:rsid w:val="006E0142"/>
    <w:rsid w:val="006E2971"/>
    <w:rsid w:val="006F0EA9"/>
    <w:rsid w:val="00701C15"/>
    <w:rsid w:val="007056D4"/>
    <w:rsid w:val="007065E9"/>
    <w:rsid w:val="007102FB"/>
    <w:rsid w:val="00711F94"/>
    <w:rsid w:val="00715BAF"/>
    <w:rsid w:val="00722FF0"/>
    <w:rsid w:val="007252F4"/>
    <w:rsid w:val="007275B3"/>
    <w:rsid w:val="00731821"/>
    <w:rsid w:val="00732B6E"/>
    <w:rsid w:val="00732C01"/>
    <w:rsid w:val="007344B6"/>
    <w:rsid w:val="007357F5"/>
    <w:rsid w:val="00736E6E"/>
    <w:rsid w:val="00740831"/>
    <w:rsid w:val="00745D52"/>
    <w:rsid w:val="007517AB"/>
    <w:rsid w:val="00766A7D"/>
    <w:rsid w:val="0077358D"/>
    <w:rsid w:val="00775609"/>
    <w:rsid w:val="0078353B"/>
    <w:rsid w:val="007847BA"/>
    <w:rsid w:val="0079163A"/>
    <w:rsid w:val="00792F0A"/>
    <w:rsid w:val="00794A53"/>
    <w:rsid w:val="00794EB1"/>
    <w:rsid w:val="0079763D"/>
    <w:rsid w:val="007A1ECA"/>
    <w:rsid w:val="007A4CD4"/>
    <w:rsid w:val="007B1BA6"/>
    <w:rsid w:val="007B2B8A"/>
    <w:rsid w:val="007B52E3"/>
    <w:rsid w:val="007C76DF"/>
    <w:rsid w:val="007D5D63"/>
    <w:rsid w:val="007F4B15"/>
    <w:rsid w:val="00805F27"/>
    <w:rsid w:val="00810B9B"/>
    <w:rsid w:val="00815B72"/>
    <w:rsid w:val="0083434F"/>
    <w:rsid w:val="008349FD"/>
    <w:rsid w:val="00835BC2"/>
    <w:rsid w:val="00842213"/>
    <w:rsid w:val="0084289A"/>
    <w:rsid w:val="0084352E"/>
    <w:rsid w:val="008445E2"/>
    <w:rsid w:val="00851D75"/>
    <w:rsid w:val="00852EA9"/>
    <w:rsid w:val="008549E0"/>
    <w:rsid w:val="00857EA7"/>
    <w:rsid w:val="00861AA3"/>
    <w:rsid w:val="008644A2"/>
    <w:rsid w:val="008644E9"/>
    <w:rsid w:val="00866D46"/>
    <w:rsid w:val="00870951"/>
    <w:rsid w:val="008844AB"/>
    <w:rsid w:val="00884DB4"/>
    <w:rsid w:val="00884F2C"/>
    <w:rsid w:val="008931C8"/>
    <w:rsid w:val="0089681F"/>
    <w:rsid w:val="008A3C76"/>
    <w:rsid w:val="008A54DF"/>
    <w:rsid w:val="008A5A2F"/>
    <w:rsid w:val="008A6F3A"/>
    <w:rsid w:val="008B77F5"/>
    <w:rsid w:val="008D60E5"/>
    <w:rsid w:val="008E45FE"/>
    <w:rsid w:val="008E5859"/>
    <w:rsid w:val="008E6052"/>
    <w:rsid w:val="008E6B4A"/>
    <w:rsid w:val="008F03E2"/>
    <w:rsid w:val="008F1501"/>
    <w:rsid w:val="009048E7"/>
    <w:rsid w:val="009058F0"/>
    <w:rsid w:val="00906C6D"/>
    <w:rsid w:val="00915A2A"/>
    <w:rsid w:val="009219E8"/>
    <w:rsid w:val="00937960"/>
    <w:rsid w:val="009430BE"/>
    <w:rsid w:val="00946E8E"/>
    <w:rsid w:val="009521A5"/>
    <w:rsid w:val="00962255"/>
    <w:rsid w:val="0096671D"/>
    <w:rsid w:val="00972462"/>
    <w:rsid w:val="009817B3"/>
    <w:rsid w:val="00991CD3"/>
    <w:rsid w:val="00995164"/>
    <w:rsid w:val="00997BFF"/>
    <w:rsid w:val="00997D43"/>
    <w:rsid w:val="009A2A9E"/>
    <w:rsid w:val="009A3BFA"/>
    <w:rsid w:val="009A66C0"/>
    <w:rsid w:val="009D0F00"/>
    <w:rsid w:val="009D2BCC"/>
    <w:rsid w:val="009E134D"/>
    <w:rsid w:val="00A07161"/>
    <w:rsid w:val="00A07BEF"/>
    <w:rsid w:val="00A124B2"/>
    <w:rsid w:val="00A12BEB"/>
    <w:rsid w:val="00A13A3F"/>
    <w:rsid w:val="00A142D4"/>
    <w:rsid w:val="00A142DB"/>
    <w:rsid w:val="00A24100"/>
    <w:rsid w:val="00A255CB"/>
    <w:rsid w:val="00A25D23"/>
    <w:rsid w:val="00A33E85"/>
    <w:rsid w:val="00A575BE"/>
    <w:rsid w:val="00A633B4"/>
    <w:rsid w:val="00A71684"/>
    <w:rsid w:val="00A751DF"/>
    <w:rsid w:val="00A76412"/>
    <w:rsid w:val="00A90751"/>
    <w:rsid w:val="00A919A0"/>
    <w:rsid w:val="00A91D82"/>
    <w:rsid w:val="00AA0A97"/>
    <w:rsid w:val="00AA2D32"/>
    <w:rsid w:val="00AA3AB1"/>
    <w:rsid w:val="00AB0A1C"/>
    <w:rsid w:val="00AB1FD2"/>
    <w:rsid w:val="00AB5FAC"/>
    <w:rsid w:val="00AC516F"/>
    <w:rsid w:val="00AD640A"/>
    <w:rsid w:val="00AD6DDC"/>
    <w:rsid w:val="00AE45CA"/>
    <w:rsid w:val="00AF42DE"/>
    <w:rsid w:val="00AF5ED0"/>
    <w:rsid w:val="00AF63DD"/>
    <w:rsid w:val="00B006AB"/>
    <w:rsid w:val="00B174B4"/>
    <w:rsid w:val="00B2454C"/>
    <w:rsid w:val="00B26C90"/>
    <w:rsid w:val="00B308D7"/>
    <w:rsid w:val="00B469EE"/>
    <w:rsid w:val="00B5544F"/>
    <w:rsid w:val="00B66B82"/>
    <w:rsid w:val="00B76111"/>
    <w:rsid w:val="00B84D27"/>
    <w:rsid w:val="00B93443"/>
    <w:rsid w:val="00B94592"/>
    <w:rsid w:val="00BA0FBB"/>
    <w:rsid w:val="00BA3BB5"/>
    <w:rsid w:val="00BA6664"/>
    <w:rsid w:val="00BB2767"/>
    <w:rsid w:val="00BB66B7"/>
    <w:rsid w:val="00BC09B5"/>
    <w:rsid w:val="00BC3F66"/>
    <w:rsid w:val="00BC4EE1"/>
    <w:rsid w:val="00BC611A"/>
    <w:rsid w:val="00BD446F"/>
    <w:rsid w:val="00BF2711"/>
    <w:rsid w:val="00C060E5"/>
    <w:rsid w:val="00C10E42"/>
    <w:rsid w:val="00C23A89"/>
    <w:rsid w:val="00C24189"/>
    <w:rsid w:val="00C244F0"/>
    <w:rsid w:val="00C26BD4"/>
    <w:rsid w:val="00C3157C"/>
    <w:rsid w:val="00C31A7C"/>
    <w:rsid w:val="00C37484"/>
    <w:rsid w:val="00C446E3"/>
    <w:rsid w:val="00C50113"/>
    <w:rsid w:val="00C50E0F"/>
    <w:rsid w:val="00C54C1C"/>
    <w:rsid w:val="00C55EA2"/>
    <w:rsid w:val="00C64284"/>
    <w:rsid w:val="00C700D3"/>
    <w:rsid w:val="00C765AF"/>
    <w:rsid w:val="00C76B0B"/>
    <w:rsid w:val="00C81BC4"/>
    <w:rsid w:val="00C9524A"/>
    <w:rsid w:val="00C96B8F"/>
    <w:rsid w:val="00CA6C74"/>
    <w:rsid w:val="00CA7C01"/>
    <w:rsid w:val="00CB1989"/>
    <w:rsid w:val="00CB2F19"/>
    <w:rsid w:val="00CB688C"/>
    <w:rsid w:val="00CB767D"/>
    <w:rsid w:val="00CC187D"/>
    <w:rsid w:val="00CC5EE1"/>
    <w:rsid w:val="00CD0D50"/>
    <w:rsid w:val="00CD185B"/>
    <w:rsid w:val="00CD4980"/>
    <w:rsid w:val="00CE4A6E"/>
    <w:rsid w:val="00CF20E0"/>
    <w:rsid w:val="00CF3661"/>
    <w:rsid w:val="00CF4E0F"/>
    <w:rsid w:val="00D053EB"/>
    <w:rsid w:val="00D12BD6"/>
    <w:rsid w:val="00D230B5"/>
    <w:rsid w:val="00D25C79"/>
    <w:rsid w:val="00D275B2"/>
    <w:rsid w:val="00D3318E"/>
    <w:rsid w:val="00D35B76"/>
    <w:rsid w:val="00D36580"/>
    <w:rsid w:val="00D42F6D"/>
    <w:rsid w:val="00D500D6"/>
    <w:rsid w:val="00D635AD"/>
    <w:rsid w:val="00D63F44"/>
    <w:rsid w:val="00D73580"/>
    <w:rsid w:val="00D73A7C"/>
    <w:rsid w:val="00D82C17"/>
    <w:rsid w:val="00D83573"/>
    <w:rsid w:val="00D91571"/>
    <w:rsid w:val="00D9259B"/>
    <w:rsid w:val="00D942D3"/>
    <w:rsid w:val="00DB4B3D"/>
    <w:rsid w:val="00DB6CC6"/>
    <w:rsid w:val="00DC67C1"/>
    <w:rsid w:val="00DC6D28"/>
    <w:rsid w:val="00DD07C8"/>
    <w:rsid w:val="00DD5972"/>
    <w:rsid w:val="00DE0440"/>
    <w:rsid w:val="00DE04AA"/>
    <w:rsid w:val="00DE15FC"/>
    <w:rsid w:val="00DE3A2A"/>
    <w:rsid w:val="00DE68A1"/>
    <w:rsid w:val="00DF7DD4"/>
    <w:rsid w:val="00E019CE"/>
    <w:rsid w:val="00E07BA8"/>
    <w:rsid w:val="00E103FB"/>
    <w:rsid w:val="00E1551A"/>
    <w:rsid w:val="00E202A5"/>
    <w:rsid w:val="00E2340F"/>
    <w:rsid w:val="00E26262"/>
    <w:rsid w:val="00E27D9B"/>
    <w:rsid w:val="00E419E5"/>
    <w:rsid w:val="00E41D33"/>
    <w:rsid w:val="00E42666"/>
    <w:rsid w:val="00E44B65"/>
    <w:rsid w:val="00E4516D"/>
    <w:rsid w:val="00E46C45"/>
    <w:rsid w:val="00E576E4"/>
    <w:rsid w:val="00E60012"/>
    <w:rsid w:val="00E637DA"/>
    <w:rsid w:val="00E653E4"/>
    <w:rsid w:val="00E678C0"/>
    <w:rsid w:val="00E77EC0"/>
    <w:rsid w:val="00E8611E"/>
    <w:rsid w:val="00EA3EF5"/>
    <w:rsid w:val="00EA5FFC"/>
    <w:rsid w:val="00EA67FA"/>
    <w:rsid w:val="00EB0504"/>
    <w:rsid w:val="00EB36B3"/>
    <w:rsid w:val="00EB3F1C"/>
    <w:rsid w:val="00EC70AE"/>
    <w:rsid w:val="00ED280D"/>
    <w:rsid w:val="00EE6BE5"/>
    <w:rsid w:val="00EF3BF9"/>
    <w:rsid w:val="00EF72A3"/>
    <w:rsid w:val="00EF7E6E"/>
    <w:rsid w:val="00F07230"/>
    <w:rsid w:val="00F10C5F"/>
    <w:rsid w:val="00F114BA"/>
    <w:rsid w:val="00F40E0A"/>
    <w:rsid w:val="00F44DB6"/>
    <w:rsid w:val="00F45219"/>
    <w:rsid w:val="00F46923"/>
    <w:rsid w:val="00F5582A"/>
    <w:rsid w:val="00F66B7E"/>
    <w:rsid w:val="00F72176"/>
    <w:rsid w:val="00F82215"/>
    <w:rsid w:val="00F83E62"/>
    <w:rsid w:val="00F83FDC"/>
    <w:rsid w:val="00F9330A"/>
    <w:rsid w:val="00F944B7"/>
    <w:rsid w:val="00FA0F72"/>
    <w:rsid w:val="00FA434A"/>
    <w:rsid w:val="00FA4D29"/>
    <w:rsid w:val="00FA4DB4"/>
    <w:rsid w:val="00FB17B0"/>
    <w:rsid w:val="00FB50A4"/>
    <w:rsid w:val="00FB559A"/>
    <w:rsid w:val="00FB75D1"/>
    <w:rsid w:val="00FD14F3"/>
    <w:rsid w:val="00FD4F28"/>
    <w:rsid w:val="00FE54BF"/>
    <w:rsid w:val="00FE5746"/>
    <w:rsid w:val="00FE7656"/>
    <w:rsid w:val="00FF308B"/>
    <w:rsid w:val="00FF4D0F"/>
    <w:rsid w:val="00FF6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6390F"/>
  <w15:chartTrackingRefBased/>
  <w15:docId w15:val="{B798F289-1E85-47E9-844D-A8F21696C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7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7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73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73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73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73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73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73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73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73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73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73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73F2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73F2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73F2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73F2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73F2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73F2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73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7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73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73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73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73F2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73F2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73F2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73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73F2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73F25"/>
    <w:rPr>
      <w:b/>
      <w:bCs/>
      <w:smallCaps/>
      <w:color w:val="0F4761" w:themeColor="accent1" w:themeShade="BF"/>
      <w:spacing w:val="5"/>
    </w:rPr>
  </w:style>
  <w:style w:type="paragraph" w:styleId="Didascalia">
    <w:name w:val="caption"/>
    <w:basedOn w:val="Normale"/>
    <w:next w:val="Normale"/>
    <w:uiPriority w:val="35"/>
    <w:unhideWhenUsed/>
    <w:qFormat/>
    <w:rsid w:val="0024128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Collegamentoipertestuale">
    <w:name w:val="Hyperlink"/>
    <w:basedOn w:val="Carpredefinitoparagrafo"/>
    <w:uiPriority w:val="99"/>
    <w:unhideWhenUsed/>
    <w:rsid w:val="001E59E7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E59E7"/>
    <w:rPr>
      <w:color w:val="605E5C"/>
      <w:shd w:val="clear" w:color="auto" w:fill="E1DFDD"/>
    </w:rPr>
  </w:style>
  <w:style w:type="paragraph" w:styleId="Testonotaapidipagina">
    <w:name w:val="footnote text"/>
    <w:basedOn w:val="Normale"/>
    <w:link w:val="TestonotaapidipaginaCarattere"/>
    <w:rsid w:val="00CC187D"/>
    <w:pPr>
      <w:spacing w:after="0" w:line="240" w:lineRule="auto"/>
    </w:pPr>
    <w:rPr>
      <w:rFonts w:ascii="Cambria" w:eastAsia="Cambria" w:hAnsi="Cambria" w:cs="Times New Roman"/>
      <w:kern w:val="0"/>
      <w:sz w:val="20"/>
      <w:szCs w:val="20"/>
      <w:lang w:val="en-GB"/>
      <w14:ligatures w14:val="none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rsid w:val="00CC187D"/>
    <w:rPr>
      <w:rFonts w:ascii="Cambria" w:eastAsia="Cambria" w:hAnsi="Cambria" w:cs="Times New Roman"/>
      <w:kern w:val="0"/>
      <w:sz w:val="20"/>
      <w:szCs w:val="20"/>
      <w:lang w:val="en-GB"/>
      <w14:ligatures w14:val="none"/>
    </w:rPr>
  </w:style>
  <w:style w:type="character" w:styleId="Rimandonotaapidipagina">
    <w:name w:val="footnote reference"/>
    <w:basedOn w:val="Carpredefinitoparagrafo"/>
    <w:rsid w:val="00CC187D"/>
    <w:rPr>
      <w:vertAlign w:val="superscript"/>
    </w:rPr>
  </w:style>
  <w:style w:type="character" w:styleId="Testosegnaposto">
    <w:name w:val="Placeholder Text"/>
    <w:basedOn w:val="Carpredefinitoparagrafo"/>
    <w:uiPriority w:val="99"/>
    <w:semiHidden/>
    <w:rsid w:val="00CF4E0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5166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</w:div>
      </w:divsChild>
    </w:div>
    <w:div w:id="461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6732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</w:div>
      </w:divsChild>
    </w:div>
    <w:div w:id="6035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0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webSettings" Target="webSettings.xml"/><Relationship Id="rId12" Type="http://schemas.openxmlformats.org/officeDocument/2006/relationships/diagramLayout" Target="diagrams/layout1.xml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diagramData" Target="diagrams/data1.xm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microsoft.com/office/2007/relationships/diagramDrawing" Target="diagrams/drawing1.xml"/><Relationship Id="rId23" Type="http://schemas.openxmlformats.org/officeDocument/2006/relationships/image" Target="media/image9.png"/><Relationship Id="rId10" Type="http://schemas.openxmlformats.org/officeDocument/2006/relationships/image" Target="media/image1.png"/><Relationship Id="rId19" Type="http://schemas.openxmlformats.org/officeDocument/2006/relationships/image" Target="media/image5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8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0D7B84B-B0E5-474F-ABE3-DD25006E913F}" type="doc">
      <dgm:prSet loTypeId="urn:microsoft.com/office/officeart/2005/8/layout/equation2" loCatId="process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it-IT"/>
        </a:p>
      </dgm:t>
    </dgm:pt>
    <dgm:pt modelId="{ECED14D1-A372-48E5-A999-BDDBC5467F66}">
      <dgm:prSet phldrT="[Testo]"/>
      <dgm:spPr/>
      <dgm:t>
        <a:bodyPr/>
        <a:lstStyle/>
        <a:p>
          <a:r>
            <a:rPr lang="it-IT"/>
            <a:t>Conto Economico previsionale</a:t>
          </a:r>
        </a:p>
      </dgm:t>
    </dgm:pt>
    <dgm:pt modelId="{25EBC957-31D7-4E31-89E1-676B474A5510}" type="parTrans" cxnId="{6EA15FF5-E099-4172-A55A-313280B84E63}">
      <dgm:prSet/>
      <dgm:spPr/>
      <dgm:t>
        <a:bodyPr/>
        <a:lstStyle/>
        <a:p>
          <a:endParaRPr lang="it-IT"/>
        </a:p>
      </dgm:t>
    </dgm:pt>
    <dgm:pt modelId="{68CAB8E2-2708-4C26-9D88-43871253CECB}" type="sibTrans" cxnId="{6EA15FF5-E099-4172-A55A-313280B84E63}">
      <dgm:prSet/>
      <dgm:spPr/>
      <dgm:t>
        <a:bodyPr/>
        <a:lstStyle/>
        <a:p>
          <a:endParaRPr lang="it-IT"/>
        </a:p>
      </dgm:t>
    </dgm:pt>
    <dgm:pt modelId="{DFB541A0-508E-4930-AE01-CDBB02762014}">
      <dgm:prSet phldrT="[Testo]"/>
      <dgm:spPr/>
      <dgm:t>
        <a:bodyPr/>
        <a:lstStyle/>
        <a:p>
          <a:r>
            <a:rPr lang="it-IT"/>
            <a:t>Rendiconto Finanziario previsionale</a:t>
          </a:r>
        </a:p>
      </dgm:t>
    </dgm:pt>
    <dgm:pt modelId="{32A6235A-B0FC-49B4-9CE6-2C58CDFFA18F}" type="parTrans" cxnId="{BE7EF7D6-A457-4AE8-A4A2-85890A5CAE76}">
      <dgm:prSet/>
      <dgm:spPr/>
      <dgm:t>
        <a:bodyPr/>
        <a:lstStyle/>
        <a:p>
          <a:endParaRPr lang="it-IT"/>
        </a:p>
      </dgm:t>
    </dgm:pt>
    <dgm:pt modelId="{77CD86A4-9812-422A-BD68-64499B43EA3C}" type="sibTrans" cxnId="{BE7EF7D6-A457-4AE8-A4A2-85890A5CAE76}">
      <dgm:prSet/>
      <dgm:spPr/>
      <dgm:t>
        <a:bodyPr/>
        <a:lstStyle/>
        <a:p>
          <a:endParaRPr lang="it-IT"/>
        </a:p>
      </dgm:t>
    </dgm:pt>
    <dgm:pt modelId="{4B57F985-54E2-4A6A-8191-246530F8C3C0}">
      <dgm:prSet phldrT="[Testo]" custT="1"/>
      <dgm:spPr/>
      <dgm:t>
        <a:bodyPr/>
        <a:lstStyle/>
        <a:p>
          <a:r>
            <a:rPr lang="it-IT" sz="1050"/>
            <a:t>Stato Patrimoniale previsionale</a:t>
          </a:r>
        </a:p>
      </dgm:t>
    </dgm:pt>
    <dgm:pt modelId="{70227204-4861-4D18-A58E-5321084EB753}" type="parTrans" cxnId="{E6874220-4F06-4B18-899A-26E1344F401E}">
      <dgm:prSet/>
      <dgm:spPr/>
      <dgm:t>
        <a:bodyPr/>
        <a:lstStyle/>
        <a:p>
          <a:endParaRPr lang="it-IT"/>
        </a:p>
      </dgm:t>
    </dgm:pt>
    <dgm:pt modelId="{86286557-38B8-451D-A3D5-7544CDE43376}" type="sibTrans" cxnId="{E6874220-4F06-4B18-899A-26E1344F401E}">
      <dgm:prSet/>
      <dgm:spPr/>
      <dgm:t>
        <a:bodyPr/>
        <a:lstStyle/>
        <a:p>
          <a:endParaRPr lang="it-IT"/>
        </a:p>
      </dgm:t>
    </dgm:pt>
    <dgm:pt modelId="{73C63FF9-BB60-461C-8273-4F0C9BFB72ED}" type="pres">
      <dgm:prSet presAssocID="{90D7B84B-B0E5-474F-ABE3-DD25006E913F}" presName="Name0" presStyleCnt="0">
        <dgm:presLayoutVars>
          <dgm:dir/>
          <dgm:resizeHandles val="exact"/>
        </dgm:presLayoutVars>
      </dgm:prSet>
      <dgm:spPr/>
    </dgm:pt>
    <dgm:pt modelId="{A476D08D-E33F-431C-8CF7-D290DE457E6B}" type="pres">
      <dgm:prSet presAssocID="{90D7B84B-B0E5-474F-ABE3-DD25006E913F}" presName="vNodes" presStyleCnt="0"/>
      <dgm:spPr/>
    </dgm:pt>
    <dgm:pt modelId="{0B203AF3-8362-44B0-8D9B-D13254657D8F}" type="pres">
      <dgm:prSet presAssocID="{ECED14D1-A372-48E5-A999-BDDBC5467F66}" presName="node" presStyleLbl="node1" presStyleIdx="0" presStyleCnt="3">
        <dgm:presLayoutVars>
          <dgm:bulletEnabled val="1"/>
        </dgm:presLayoutVars>
      </dgm:prSet>
      <dgm:spPr/>
    </dgm:pt>
    <dgm:pt modelId="{97EEBB8D-6CBB-47E5-8125-26FD479F6E0A}" type="pres">
      <dgm:prSet presAssocID="{68CAB8E2-2708-4C26-9D88-43871253CECB}" presName="spacerT" presStyleCnt="0"/>
      <dgm:spPr/>
    </dgm:pt>
    <dgm:pt modelId="{4E28A5DF-175A-4891-8F92-6EE64D069E29}" type="pres">
      <dgm:prSet presAssocID="{68CAB8E2-2708-4C26-9D88-43871253CECB}" presName="sibTrans" presStyleLbl="sibTrans2D1" presStyleIdx="0" presStyleCnt="2"/>
      <dgm:spPr/>
    </dgm:pt>
    <dgm:pt modelId="{D2664206-B34A-4A35-841E-5A731075E80C}" type="pres">
      <dgm:prSet presAssocID="{68CAB8E2-2708-4C26-9D88-43871253CECB}" presName="spacerB" presStyleCnt="0"/>
      <dgm:spPr/>
    </dgm:pt>
    <dgm:pt modelId="{DBE91988-CBC4-41F6-8A3C-748AF1209CB4}" type="pres">
      <dgm:prSet presAssocID="{DFB541A0-508E-4930-AE01-CDBB02762014}" presName="node" presStyleLbl="node1" presStyleIdx="1" presStyleCnt="3">
        <dgm:presLayoutVars>
          <dgm:bulletEnabled val="1"/>
        </dgm:presLayoutVars>
      </dgm:prSet>
      <dgm:spPr/>
    </dgm:pt>
    <dgm:pt modelId="{974C9527-638E-47E3-920C-F1CB4620832B}" type="pres">
      <dgm:prSet presAssocID="{90D7B84B-B0E5-474F-ABE3-DD25006E913F}" presName="sibTransLast" presStyleLbl="sibTrans2D1" presStyleIdx="1" presStyleCnt="2"/>
      <dgm:spPr/>
    </dgm:pt>
    <dgm:pt modelId="{6012611C-3B82-4116-AAD7-E79E3182C5C6}" type="pres">
      <dgm:prSet presAssocID="{90D7B84B-B0E5-474F-ABE3-DD25006E913F}" presName="connectorText" presStyleLbl="sibTrans2D1" presStyleIdx="1" presStyleCnt="2"/>
      <dgm:spPr/>
    </dgm:pt>
    <dgm:pt modelId="{A2571D2A-08BF-4B8F-B75E-2EA560F3B6AD}" type="pres">
      <dgm:prSet presAssocID="{90D7B84B-B0E5-474F-ABE3-DD25006E913F}" presName="lastNode" presStyleLbl="node1" presStyleIdx="2" presStyleCnt="3">
        <dgm:presLayoutVars>
          <dgm:bulletEnabled val="1"/>
        </dgm:presLayoutVars>
      </dgm:prSet>
      <dgm:spPr/>
    </dgm:pt>
  </dgm:ptLst>
  <dgm:cxnLst>
    <dgm:cxn modelId="{BE54D601-F44A-4FCC-AC34-CA5F8A02A1DE}" type="presOf" srcId="{77CD86A4-9812-422A-BD68-64499B43EA3C}" destId="{974C9527-638E-47E3-920C-F1CB4620832B}" srcOrd="0" destOrd="0" presId="urn:microsoft.com/office/officeart/2005/8/layout/equation2"/>
    <dgm:cxn modelId="{E6874220-4F06-4B18-899A-26E1344F401E}" srcId="{90D7B84B-B0E5-474F-ABE3-DD25006E913F}" destId="{4B57F985-54E2-4A6A-8191-246530F8C3C0}" srcOrd="2" destOrd="0" parTransId="{70227204-4861-4D18-A58E-5321084EB753}" sibTransId="{86286557-38B8-451D-A3D5-7544CDE43376}"/>
    <dgm:cxn modelId="{47127C3F-ABD2-44A9-BFCF-289D3849123A}" type="presOf" srcId="{77CD86A4-9812-422A-BD68-64499B43EA3C}" destId="{6012611C-3B82-4116-AAD7-E79E3182C5C6}" srcOrd="1" destOrd="0" presId="urn:microsoft.com/office/officeart/2005/8/layout/equation2"/>
    <dgm:cxn modelId="{3C304D6E-0E8F-424D-B076-8219335B2955}" type="presOf" srcId="{DFB541A0-508E-4930-AE01-CDBB02762014}" destId="{DBE91988-CBC4-41F6-8A3C-748AF1209CB4}" srcOrd="0" destOrd="0" presId="urn:microsoft.com/office/officeart/2005/8/layout/equation2"/>
    <dgm:cxn modelId="{3B361158-536A-4C29-8AD3-2DA6BF2740BF}" type="presOf" srcId="{68CAB8E2-2708-4C26-9D88-43871253CECB}" destId="{4E28A5DF-175A-4891-8F92-6EE64D069E29}" srcOrd="0" destOrd="0" presId="urn:microsoft.com/office/officeart/2005/8/layout/equation2"/>
    <dgm:cxn modelId="{560A6C59-C6A0-4259-9677-69E34D26C324}" type="presOf" srcId="{4B57F985-54E2-4A6A-8191-246530F8C3C0}" destId="{A2571D2A-08BF-4B8F-B75E-2EA560F3B6AD}" srcOrd="0" destOrd="0" presId="urn:microsoft.com/office/officeart/2005/8/layout/equation2"/>
    <dgm:cxn modelId="{65B636AD-5E86-4080-B858-D10B06948D97}" type="presOf" srcId="{ECED14D1-A372-48E5-A999-BDDBC5467F66}" destId="{0B203AF3-8362-44B0-8D9B-D13254657D8F}" srcOrd="0" destOrd="0" presId="urn:microsoft.com/office/officeart/2005/8/layout/equation2"/>
    <dgm:cxn modelId="{C56EA8BB-DC97-4A2B-84A8-DFF482CBF456}" type="presOf" srcId="{90D7B84B-B0E5-474F-ABE3-DD25006E913F}" destId="{73C63FF9-BB60-461C-8273-4F0C9BFB72ED}" srcOrd="0" destOrd="0" presId="urn:microsoft.com/office/officeart/2005/8/layout/equation2"/>
    <dgm:cxn modelId="{BE7EF7D6-A457-4AE8-A4A2-85890A5CAE76}" srcId="{90D7B84B-B0E5-474F-ABE3-DD25006E913F}" destId="{DFB541A0-508E-4930-AE01-CDBB02762014}" srcOrd="1" destOrd="0" parTransId="{32A6235A-B0FC-49B4-9CE6-2C58CDFFA18F}" sibTransId="{77CD86A4-9812-422A-BD68-64499B43EA3C}"/>
    <dgm:cxn modelId="{6EA15FF5-E099-4172-A55A-313280B84E63}" srcId="{90D7B84B-B0E5-474F-ABE3-DD25006E913F}" destId="{ECED14D1-A372-48E5-A999-BDDBC5467F66}" srcOrd="0" destOrd="0" parTransId="{25EBC957-31D7-4E31-89E1-676B474A5510}" sibTransId="{68CAB8E2-2708-4C26-9D88-43871253CECB}"/>
    <dgm:cxn modelId="{13DA93A8-8AA9-4BC4-BEF1-1000CB4AC211}" type="presParOf" srcId="{73C63FF9-BB60-461C-8273-4F0C9BFB72ED}" destId="{A476D08D-E33F-431C-8CF7-D290DE457E6B}" srcOrd="0" destOrd="0" presId="urn:microsoft.com/office/officeart/2005/8/layout/equation2"/>
    <dgm:cxn modelId="{01CD5F39-5140-4093-B280-505DE0EA94B4}" type="presParOf" srcId="{A476D08D-E33F-431C-8CF7-D290DE457E6B}" destId="{0B203AF3-8362-44B0-8D9B-D13254657D8F}" srcOrd="0" destOrd="0" presId="urn:microsoft.com/office/officeart/2005/8/layout/equation2"/>
    <dgm:cxn modelId="{9F8DD312-B5B5-4CF0-9849-BF5454D1D869}" type="presParOf" srcId="{A476D08D-E33F-431C-8CF7-D290DE457E6B}" destId="{97EEBB8D-6CBB-47E5-8125-26FD479F6E0A}" srcOrd="1" destOrd="0" presId="urn:microsoft.com/office/officeart/2005/8/layout/equation2"/>
    <dgm:cxn modelId="{9A45E76A-ECE2-4D95-AEC3-DC4B476C4DA6}" type="presParOf" srcId="{A476D08D-E33F-431C-8CF7-D290DE457E6B}" destId="{4E28A5DF-175A-4891-8F92-6EE64D069E29}" srcOrd="2" destOrd="0" presId="urn:microsoft.com/office/officeart/2005/8/layout/equation2"/>
    <dgm:cxn modelId="{6B7E966F-A5BE-42DF-9A27-0C8E20B123AA}" type="presParOf" srcId="{A476D08D-E33F-431C-8CF7-D290DE457E6B}" destId="{D2664206-B34A-4A35-841E-5A731075E80C}" srcOrd="3" destOrd="0" presId="urn:microsoft.com/office/officeart/2005/8/layout/equation2"/>
    <dgm:cxn modelId="{839FCA24-E3DF-47E0-8ED3-E583FC41F943}" type="presParOf" srcId="{A476D08D-E33F-431C-8CF7-D290DE457E6B}" destId="{DBE91988-CBC4-41F6-8A3C-748AF1209CB4}" srcOrd="4" destOrd="0" presId="urn:microsoft.com/office/officeart/2005/8/layout/equation2"/>
    <dgm:cxn modelId="{D62B07B4-BB5A-47B2-A2F6-539ADF57EFD3}" type="presParOf" srcId="{73C63FF9-BB60-461C-8273-4F0C9BFB72ED}" destId="{974C9527-638E-47E3-920C-F1CB4620832B}" srcOrd="1" destOrd="0" presId="urn:microsoft.com/office/officeart/2005/8/layout/equation2"/>
    <dgm:cxn modelId="{887922F9-4675-4472-BF5A-A4BB9B54BB41}" type="presParOf" srcId="{974C9527-638E-47E3-920C-F1CB4620832B}" destId="{6012611C-3B82-4116-AAD7-E79E3182C5C6}" srcOrd="0" destOrd="0" presId="urn:microsoft.com/office/officeart/2005/8/layout/equation2"/>
    <dgm:cxn modelId="{069C6839-C3CE-4F49-94D0-AC8E71E8B19E}" type="presParOf" srcId="{73C63FF9-BB60-461C-8273-4F0C9BFB72ED}" destId="{A2571D2A-08BF-4B8F-B75E-2EA560F3B6AD}" srcOrd="2" destOrd="0" presId="urn:microsoft.com/office/officeart/2005/8/layout/equation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B203AF3-8362-44B0-8D9B-D13254657D8F}">
      <dsp:nvSpPr>
        <dsp:cNvPr id="0" name=""/>
        <dsp:cNvSpPr/>
      </dsp:nvSpPr>
      <dsp:spPr>
        <a:xfrm>
          <a:off x="415345" y="389"/>
          <a:ext cx="700977" cy="700977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Conto Economico previsionale</a:t>
          </a:r>
        </a:p>
      </dsp:txBody>
      <dsp:txXfrm>
        <a:off x="518001" y="103045"/>
        <a:ext cx="495665" cy="495665"/>
      </dsp:txXfrm>
    </dsp:sp>
    <dsp:sp modelId="{4E28A5DF-175A-4891-8F92-6EE64D069E29}">
      <dsp:nvSpPr>
        <dsp:cNvPr id="0" name=""/>
        <dsp:cNvSpPr/>
      </dsp:nvSpPr>
      <dsp:spPr>
        <a:xfrm>
          <a:off x="562550" y="758286"/>
          <a:ext cx="406566" cy="406566"/>
        </a:xfrm>
        <a:prstGeom prst="mathPlus">
          <a:avLst/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600" kern="1200"/>
        </a:p>
      </dsp:txBody>
      <dsp:txXfrm>
        <a:off x="616440" y="913757"/>
        <a:ext cx="298786" cy="95624"/>
      </dsp:txXfrm>
    </dsp:sp>
    <dsp:sp modelId="{DBE91988-CBC4-41F6-8A3C-748AF1209CB4}">
      <dsp:nvSpPr>
        <dsp:cNvPr id="0" name=""/>
        <dsp:cNvSpPr/>
      </dsp:nvSpPr>
      <dsp:spPr>
        <a:xfrm>
          <a:off x="415345" y="1221772"/>
          <a:ext cx="700977" cy="700977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Rendiconto Finanziario previsionale</a:t>
          </a:r>
        </a:p>
      </dsp:txBody>
      <dsp:txXfrm>
        <a:off x="518001" y="1324428"/>
        <a:ext cx="495665" cy="495665"/>
      </dsp:txXfrm>
    </dsp:sp>
    <dsp:sp modelId="{974C9527-638E-47E3-920C-F1CB4620832B}">
      <dsp:nvSpPr>
        <dsp:cNvPr id="0" name=""/>
        <dsp:cNvSpPr/>
      </dsp:nvSpPr>
      <dsp:spPr>
        <a:xfrm>
          <a:off x="1221468" y="831187"/>
          <a:ext cx="222910" cy="260763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600" kern="1200"/>
        </a:p>
      </dsp:txBody>
      <dsp:txXfrm>
        <a:off x="1221468" y="883340"/>
        <a:ext cx="156037" cy="156457"/>
      </dsp:txXfrm>
    </dsp:sp>
    <dsp:sp modelId="{A2571D2A-08BF-4B8F-B75E-2EA560F3B6AD}">
      <dsp:nvSpPr>
        <dsp:cNvPr id="0" name=""/>
        <dsp:cNvSpPr/>
      </dsp:nvSpPr>
      <dsp:spPr>
        <a:xfrm>
          <a:off x="1536908" y="260592"/>
          <a:ext cx="1401954" cy="1401954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1050" kern="1200"/>
            <a:t>Stato Patrimoniale previsionale</a:t>
          </a:r>
        </a:p>
      </dsp:txBody>
      <dsp:txXfrm>
        <a:off x="1742219" y="465903"/>
        <a:ext cx="991332" cy="99133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equation2">
  <dgm:title val=""/>
  <dgm:desc val=""/>
  <dgm:catLst>
    <dgm:cat type="relationship" pri="18000"/>
    <dgm:cat type="process" pri="26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>
          <dgm:param type="linDir" val="fromL"/>
          <dgm:param type="fallback" val="2D"/>
        </dgm:alg>
      </dgm:if>
      <dgm:else name="Name3">
        <dgm:alg type="lin">
          <dgm:param type="linDir" val="fromR"/>
          <dgm:param type="fallback" val="2D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ch" ptType="node" func="cnt" op="gte" val="3">
        <dgm:constrLst>
          <dgm:constr type="h" for="des" forName="node" refType="w" fact="0.5"/>
          <dgm:constr type="w" for="ch" forName="lastNode" refType="w"/>
          <dgm:constr type="w" for="des" forName="node" refType="h" refFor="des" refForName="node"/>
          <dgm:constr type="w" for="ch" forName="sibTransLast" refType="h" refFor="des" refForName="node" fact="0.6"/>
          <dgm:constr type="h" for="des" forName="sibTrans" refType="h" refFor="des" refForName="node" op="equ" fact="0.58"/>
          <dgm:constr type="w" for="des" forName="sibTrans" refType="h" refFor="des" refForName="sibTrans" op="equ"/>
          <dgm:constr type="primFontSz" for="ch" forName="lastNode" op="equ" val="65"/>
          <dgm:constr type="primFontSz" for="des" forName="node" op="equ" val="65"/>
          <dgm:constr type="primFontSz" for="des" forName="sibTrans" val="55"/>
          <dgm:constr type="primFontSz" for="des" forName="sibTrans" refType="primFontSz" refFor="des" refForName="node" op="lte" fact="0.8"/>
          <dgm:constr type="primFontSz" for="des" forName="connectorText" refType="primFontSz" refFor="des" refForName="node" op="lte" fact="0.8"/>
          <dgm:constr type="primFontSz" for="des" forName="connectorText" refType="primFontSz" refFor="des" refForName="sibTrans" op="equ"/>
          <dgm:constr type="h" for="des" forName="spacerT" refType="h" refFor="des" refForName="sibTrans" fact="0.14"/>
          <dgm:constr type="h" for="des" forName="spacerB" refType="h" refFor="des" refForName="sibTrans" fact="0.14"/>
        </dgm:constrLst>
      </dgm:if>
      <dgm:else name="Name6">
        <dgm:constrLst>
          <dgm:constr type="h" for="des" forName="node" refType="w"/>
          <dgm:constr type="w" for="ch" forName="lastNode" refType="w"/>
          <dgm:constr type="w" for="des" forName="node" refType="h" refFor="des" refForName="node"/>
          <dgm:constr type="w" for="ch" forName="sibTransLast" refType="h" refFor="des" refForName="node" fact="0.6"/>
          <dgm:constr type="h" for="des" forName="sibTrans" refType="h" refFor="des" refForName="node" op="equ" fact="0.58"/>
          <dgm:constr type="w" for="des" forName="sibTrans" refType="h" refFor="des" refForName="sibTrans" op="equ"/>
          <dgm:constr type="primFontSz" for="des" forName="node" val="65"/>
          <dgm:constr type="primFontSz" for="ch" forName="lastNode" refType="primFontSz" refFor="des" refForName="node" op="equ"/>
          <dgm:constr type="primFontSz" for="des" forName="sibTrans" val="55"/>
          <dgm:constr type="primFontSz" for="des" forName="connectorText" refType="primFontSz" refFor="des" refForName="node" op="lte" fact="0.8"/>
          <dgm:constr type="primFontSz" for="des" forName="connectorText" refType="primFontSz" refFor="des" refForName="sibTrans" op="equ"/>
          <dgm:constr type="h" for="des" forName="spacerT" refType="h" refFor="des" refForName="sibTrans" fact="0.14"/>
          <dgm:constr type="h" for="des" forName="spacerB" refType="h" refFor="des" refForName="sibTrans" fact="0.14"/>
        </dgm:constrLst>
      </dgm:else>
    </dgm:choose>
    <dgm:ruleLst/>
    <dgm:choose name="Name7">
      <dgm:if name="Name8" axis="ch" ptType="node" func="cnt" op="gte" val="1">
        <dgm:layoutNode name="vNodes">
          <dgm:alg type="lin">
            <dgm:param type="linDir" val="fromT"/>
            <dgm:param type="fallback" val="2D"/>
          </dgm:alg>
          <dgm:shape xmlns:r="http://schemas.openxmlformats.org/officeDocument/2006/relationships" r:blip="">
            <dgm:adjLst/>
          </dgm:shape>
          <dgm:presOf/>
          <dgm:constrLst/>
          <dgm:ruleLst/>
          <dgm:forEach name="Name9" axis="ch" ptType="node">
            <dgm:choose name="Name10">
              <dgm:if name="Name11" axis="self" func="revPos" op="neq" val="1">
                <dgm:layoutNode name="node">
                  <dgm:varLst>
                    <dgm:bulletEnabled val="1"/>
                  </dgm:varLst>
                  <dgm:alg type="tx">
                    <dgm:param type="txAnchorVertCh" val="mid"/>
                  </dgm:alg>
                  <dgm:shape xmlns:r="http://schemas.openxmlformats.org/officeDocument/2006/relationships" type="ellipse" r:blip="">
                    <dgm:adjLst/>
                  </dgm:shape>
                  <dgm:presOf axis="desOrSelf" ptType="node"/>
                  <dgm:constrLst>
                    <dgm:constr type="tMarg" refType="primFontSz" fact="0.1"/>
                    <dgm:constr type="bMarg" refType="primFontSz" fact="0.1"/>
                    <dgm:constr type="lMarg" refType="primFontSz" fact="0.1"/>
                    <dgm:constr type="rMarg" refType="primFontSz" fact="0.1"/>
                  </dgm:constrLst>
                  <dgm:ruleLst>
                    <dgm:rule type="primFontSz" val="5" fact="NaN" max="NaN"/>
                  </dgm:ruleLst>
                </dgm:layoutNode>
                <dgm:choose name="Name12">
                  <dgm:if name="Name13" axis="self" ptType="node" func="revPos" op="gt" val="2">
                    <dgm:forEach name="sibTransForEach" axis="followSib" ptType="sibTrans" cnt="1">
                      <dgm:layoutNode name="spacerT">
                        <dgm:alg type="sp"/>
                        <dgm:shape xmlns:r="http://schemas.openxmlformats.org/officeDocument/2006/relationships" r:blip="">
                          <dgm:adjLst/>
                        </dgm:shape>
                        <dgm:presOf axis="self"/>
                        <dgm:constrLst/>
                        <dgm:ruleLst/>
                      </dgm:layoutNode>
                      <dgm:layoutNode name="sibTrans">
                        <dgm:alg type="tx"/>
                        <dgm:shape xmlns:r="http://schemas.openxmlformats.org/officeDocument/2006/relationships" type="mathPlus" r:blip="">
                          <dgm:adjLst/>
                        </dgm:shape>
                        <dgm:presOf axis="self"/>
                        <dgm:constrLst>
                          <dgm:constr type="h" refType="w"/>
                          <dgm:constr type="lMarg"/>
                          <dgm:constr type="rMarg"/>
                          <dgm:constr type="tMarg"/>
                          <dgm:constr type="bMarg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spacerB">
                        <dgm:alg type="sp"/>
                        <dgm:shape xmlns:r="http://schemas.openxmlformats.org/officeDocument/2006/relationships" r:blip="">
                          <dgm:adjLst/>
                        </dgm:shape>
                        <dgm:presOf axis="self"/>
                        <dgm:constrLst/>
                        <dgm:ruleLst/>
                      </dgm:layoutNode>
                    </dgm:forEach>
                  </dgm:if>
                  <dgm:else name="Name14"/>
                </dgm:choose>
              </dgm:if>
              <dgm:else name="Name15"/>
            </dgm:choose>
          </dgm:forEach>
        </dgm:layoutNode>
        <dgm:choose name="Name16">
          <dgm:if name="Name17" axis="ch" ptType="node" func="cnt" op="gt" val="1">
            <dgm:layoutNode name="sibTransLast">
              <dgm:alg type="conn">
                <dgm:param type="begPts" val="auto"/>
                <dgm:param type="endPts" val="auto"/>
                <dgm:param type="srcNode" val="vNodes"/>
                <dgm:param type="dstNode" val="lastNode"/>
              </dgm:alg>
              <dgm:shape xmlns:r="http://schemas.openxmlformats.org/officeDocument/2006/relationships" type="conn" r:blip="">
                <dgm:adjLst/>
              </dgm:shape>
              <dgm:presOf axis="ch" ptType="sibTrans" st="-1" cnt="1"/>
              <dgm:constrLst>
                <dgm:constr type="h" refType="w" fact="0.62"/>
                <dgm:constr type="connDist"/>
                <dgm:constr type="begPad" refType="connDist" fact="0.25"/>
                <dgm:constr type="endPad" refType="connDist" fact="0.22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ch desOrSelf" ptType="sibTrans sibTrans" st="-1 1" cnt="1 0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if>
          <dgm:else name="Name18"/>
        </dgm:choose>
        <dgm:layoutNode name="lastNode">
          <dgm:varLst>
            <dgm:bulletEnabled val="1"/>
          </dgm:varLst>
          <dgm:alg type="tx">
            <dgm:param type="txAnchorVertCh" val="mid"/>
          </dgm:alg>
          <dgm:shape xmlns:r="http://schemas.openxmlformats.org/officeDocument/2006/relationships" type="ellipse" r:blip="">
            <dgm:adjLst/>
          </dgm:shape>
          <dgm:presOf axis="ch desOrSelf" ptType="node node" st="-1 1" cnt="1 0"/>
          <dgm:constrLst>
            <dgm:constr type="h" refType="w"/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</dgm:constrLst>
          <dgm:ruleLst>
            <dgm:rule type="primFontSz" val="5" fact="NaN" max="NaN"/>
          </dgm:ruleLst>
        </dgm:layoutNode>
      </dgm:if>
      <dgm:else name="Name19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63552C-523B-4686-92F0-573B2A08A8DC}">
  <we:reference id="wa200005287" version="1.0.0.3" store="it-IT" storeType="OMEX"/>
  <we:alternateReferences>
    <we:reference id="WA200005287" version="1.0.0.3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8" ma:contentTypeDescription="Creare un nuovo documento." ma:contentTypeScope="" ma:versionID="57b8045e8abefa85dedc7991371a38b2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f5ecd2ee382a35af39c71524ba84a011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6F98F3-C257-4188-91F2-D7D65BEDEC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F5BE4B-BD64-4B74-ABFF-3B6B45DE89DB}">
  <ds:schemaRefs>
    <ds:schemaRef ds:uri="http://schemas.microsoft.com/office/2006/metadata/properties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77a3f60d-3740-4b8f-aea2-18b203205ead"/>
    <ds:schemaRef ds:uri="http://schemas.microsoft.com/office/2006/documentManagement/types"/>
    <ds:schemaRef ds:uri="6c014026-a0ef-45dc-9ca9-ac355db24e99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1F628F5F-7DE9-4FA4-8166-A72CF32123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a3f60d-3740-4b8f-aea2-18b203205ead"/>
    <ds:schemaRef ds:uri="6c014026-a0ef-45dc-9ca9-ac355db24e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1528</Words>
  <Characters>8711</Characters>
  <Application>Microsoft Office Word</Application>
  <DocSecurity>0</DocSecurity>
  <Lines>72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Pastore</cp:lastModifiedBy>
  <cp:revision>190</cp:revision>
  <cp:lastPrinted>2025-01-03T16:00:00Z</cp:lastPrinted>
  <dcterms:created xsi:type="dcterms:W3CDTF">2025-01-03T16:13:00Z</dcterms:created>
  <dcterms:modified xsi:type="dcterms:W3CDTF">2025-01-10T10:44:00Z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