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918EB" w14:textId="5C37FD57" w:rsidR="00EC1419" w:rsidRPr="008336C2" w:rsidRDefault="00B15DC9" w:rsidP="00EC1419">
      <w:pPr>
        <w:rPr>
          <w:b/>
          <w:bCs/>
        </w:rPr>
      </w:pPr>
      <w:r w:rsidRPr="008336C2">
        <w:rPr>
          <w:b/>
          <w:bCs/>
        </w:rPr>
        <w:t>Lo studio del punto di pareggio per compensare i dazi</w:t>
      </w:r>
    </w:p>
    <w:p w14:paraId="4531B4D8" w14:textId="1996A529" w:rsidR="009D461F" w:rsidRPr="00B15DC9" w:rsidRDefault="00B15DC9" w:rsidP="00B15DC9">
      <w:pPr>
        <w:jc w:val="both"/>
        <w:rPr>
          <w:i/>
          <w:iCs/>
        </w:rPr>
      </w:pPr>
      <w:r w:rsidRPr="00B15DC9">
        <w:rPr>
          <w:i/>
          <w:iCs/>
        </w:rPr>
        <w:t>L’</w:t>
      </w:r>
      <w:r w:rsidR="009D461F" w:rsidRPr="00B15DC9">
        <w:rPr>
          <w:i/>
          <w:iCs/>
        </w:rPr>
        <w:t xml:space="preserve">articolo esamina l'impatto dei dazi doganali sul punto di pareggio e sulla sostenibilità economica delle imprese esportatrici europee. In un contesto di tensioni geopolitiche e politiche protezionistiche, l'introduzione o l'aumento dei dazi può influenzare significativamente i margini aziendali e la competitività. L'analisi proposta utilizza un modello semplificato, basato su formule parametriche e un tool specifico, per valutare e simulare l'effetto dei dazi sul conto economico aziendale. </w:t>
      </w:r>
      <w:r w:rsidR="005600B0">
        <w:rPr>
          <w:i/>
          <w:iCs/>
        </w:rPr>
        <w:t>Per comprendere gli effetti, o</w:t>
      </w:r>
      <w:r w:rsidR="00694B2E">
        <w:rPr>
          <w:i/>
          <w:iCs/>
        </w:rPr>
        <w:t>ccorre formulare scenari</w:t>
      </w:r>
      <w:r w:rsidR="005600B0">
        <w:rPr>
          <w:i/>
          <w:iCs/>
        </w:rPr>
        <w:t xml:space="preserve"> e l’articolo ne delinea due: da un lato</w:t>
      </w:r>
      <w:r w:rsidR="00694B2E">
        <w:rPr>
          <w:i/>
          <w:iCs/>
        </w:rPr>
        <w:t xml:space="preserve"> </w:t>
      </w:r>
      <w:r w:rsidR="009D461F" w:rsidRPr="00B15DC9">
        <w:rPr>
          <w:i/>
          <w:iCs/>
        </w:rPr>
        <w:t>illustra come un venditore italiano potrebbe adattarsi all'introduzione di un dazio del 20% sulle esportazioni negli Stati Uniti</w:t>
      </w:r>
      <w:r w:rsidR="00E73679">
        <w:rPr>
          <w:i/>
          <w:iCs/>
        </w:rPr>
        <w:t xml:space="preserve"> per rimanere competitivo</w:t>
      </w:r>
      <w:r w:rsidR="009D461F" w:rsidRPr="00B15DC9">
        <w:rPr>
          <w:i/>
          <w:iCs/>
        </w:rPr>
        <w:t xml:space="preserve">, </w:t>
      </w:r>
      <w:r w:rsidR="005600B0">
        <w:rPr>
          <w:i/>
          <w:iCs/>
        </w:rPr>
        <w:t>dall’</w:t>
      </w:r>
      <w:r w:rsidR="00E73679">
        <w:rPr>
          <w:i/>
          <w:iCs/>
        </w:rPr>
        <w:t>altro</w:t>
      </w:r>
      <w:r w:rsidR="00E53794">
        <w:rPr>
          <w:i/>
          <w:iCs/>
        </w:rPr>
        <w:t xml:space="preserve"> come potrebbe reagire </w:t>
      </w:r>
      <w:r w:rsidR="008336C2">
        <w:rPr>
          <w:i/>
          <w:iCs/>
        </w:rPr>
        <w:t xml:space="preserve">qualora dovesse sopportare dazi in entrata, </w:t>
      </w:r>
      <w:r w:rsidR="009D461F" w:rsidRPr="00B15DC9">
        <w:rPr>
          <w:i/>
          <w:iCs/>
        </w:rPr>
        <w:t>esplorando le implicazioni per i costi, la domanda e i margini di profitto</w:t>
      </w:r>
      <w:r w:rsidR="008336C2">
        <w:rPr>
          <w:i/>
          <w:iCs/>
        </w:rPr>
        <w:t>.</w:t>
      </w:r>
    </w:p>
    <w:p w14:paraId="0B692D94" w14:textId="6B44B070" w:rsidR="0063159D" w:rsidRPr="0063159D" w:rsidRDefault="0063159D" w:rsidP="00EC1419">
      <w:pPr>
        <w:rPr>
          <w:b/>
          <w:bCs/>
        </w:rPr>
      </w:pPr>
      <w:r w:rsidRPr="0063159D">
        <w:rPr>
          <w:b/>
          <w:bCs/>
        </w:rPr>
        <w:t>I Dazi come componente del modello di margine</w:t>
      </w:r>
    </w:p>
    <w:p w14:paraId="23992AF9" w14:textId="17C16ABC" w:rsidR="00E443FE" w:rsidRDefault="00BD60DD" w:rsidP="00286BDF">
      <w:pPr>
        <w:jc w:val="both"/>
      </w:pPr>
      <w:r>
        <w:t>L</w:t>
      </w:r>
      <w:r w:rsidR="00EC1419">
        <w:t>e tensioni geopolitiche e le politiche protezionistiche adottate da alcuni Paesi, in particolare dagli Stati Uniti, hanno riportato al centro del dibattito economico il tema dei dazi doganali. Questi strumenti, utilizzati per tutelare la produzione interna o per ragioni strategiche, impongono una tassa sulle merci importate e hanno un effetto diretto sulle dinamiche di prezzo, competitività e margini aziendali</w:t>
      </w:r>
      <w:r w:rsidR="0063159D">
        <w:t xml:space="preserve">. </w:t>
      </w:r>
      <w:r w:rsidR="00EC1419">
        <w:t>Per le imprese europee esportatrici, l’introduzione o l’aumento di un dazio può trasformarsi in un fattore critico di vulnerabilità economica, in quanto incide sull’equilibrio finanziario e sulla sostenibilità delle vendite all’estero.</w:t>
      </w:r>
    </w:p>
    <w:p w14:paraId="4E9D13DF" w14:textId="26B88793" w:rsidR="00EC1419" w:rsidRDefault="00EC1419" w:rsidP="00286BDF">
      <w:pPr>
        <w:jc w:val="both"/>
      </w:pPr>
      <w:r>
        <w:t xml:space="preserve">L’obiettivo di questo contributo è duplice: da un lato, comprendere come il dazio agisca sui parametri economici chiave, in particolare sul punto di pareggio; dall’altro, offrire uno strumento analitico e operativo per valutare e simulare l’impatto di diverse ipotesi di dazio sul conto economico aziendale. La trattazione si concentra su un modello semplificato ma efficace, basato su formule parametriche e su un’applicazione pratica tramite un tool specificamente progettato per rappresentare in sintesi </w:t>
      </w:r>
      <w:r w:rsidR="001A70CC">
        <w:t xml:space="preserve">le simulazioni del punto di pareggio, </w:t>
      </w:r>
      <w:r w:rsidR="00BD60DD">
        <w:t xml:space="preserve">Break </w:t>
      </w:r>
      <w:proofErr w:type="spellStart"/>
      <w:r w:rsidR="00BD60DD">
        <w:t>Even</w:t>
      </w:r>
      <w:proofErr w:type="spellEnd"/>
      <w:r w:rsidR="00BD60DD">
        <w:t xml:space="preserve"> Point_24.</w:t>
      </w:r>
    </w:p>
    <w:p w14:paraId="2BC70B11" w14:textId="77777777" w:rsidR="003C1E4E" w:rsidRDefault="003C1E4E" w:rsidP="003C1E4E">
      <w:pPr>
        <w:jc w:val="both"/>
      </w:pPr>
      <w:r>
        <w:t>Supponiamo che un venditore italiano esporti un macchinario negli Stati Uniti al prezzo di 10.000 euro. Con l'introduzione di un dazio del 20% all'importazione, l'acquirente statunitense dovrà pagare un dazio di 2.000 euro (cioè il 20% di 10.000 euro) al momento dell'importazione.</w:t>
      </w:r>
      <w:r>
        <w:rPr>
          <w:rFonts w:ascii="Arial" w:hAnsi="Arial" w:cs="Arial"/>
        </w:rPr>
        <w:t>​</w:t>
      </w:r>
    </w:p>
    <w:p w14:paraId="3BDB66F4" w14:textId="0A9720D5" w:rsidR="003C1E4E" w:rsidRDefault="003C1E4E" w:rsidP="003C1E4E">
      <w:pPr>
        <w:jc w:val="both"/>
      </w:pPr>
      <w:r>
        <w:t>Questo aumento dei costi può portare a diverse conseguenze:</w:t>
      </w:r>
      <w:r>
        <w:rPr>
          <w:rFonts w:ascii="Arial" w:hAnsi="Arial" w:cs="Arial"/>
        </w:rPr>
        <w:t>​</w:t>
      </w:r>
      <w:r>
        <w:t xml:space="preserve"> Per l'acquirente statunitense: Il costo totale del macchinario sale a 12.000 euro (10.000 euro di prezzo base più 2.000 euro di dazio). Questo potrebbe indurlo a cercare fornitori alternativi, magari locali, per ridurre le spese.</w:t>
      </w:r>
      <w:r>
        <w:rPr>
          <w:rFonts w:ascii="Arial" w:hAnsi="Arial" w:cs="Arial"/>
        </w:rPr>
        <w:t>​</w:t>
      </w:r>
    </w:p>
    <w:p w14:paraId="6479E2B3" w14:textId="63AADD53" w:rsidR="003C1E4E" w:rsidRDefault="003C1E4E" w:rsidP="003C1E4E">
      <w:pPr>
        <w:jc w:val="both"/>
      </w:pPr>
      <w:r>
        <w:t xml:space="preserve">Per il venditore italiano: Di fronte a una possibile diminuzione della domanda dovuta all'aumento dei prezzi per l'acquirente, il venditore potrebbe decidere di ridurre il prezzo di vendita per mantenere la competitività. Ad esempio, potrebbe offrire il macchinario a 8.500 euro. In questo caso, l'acquirente pagherebbe 8.500 euro più un dazio di 1.700 euro (il 20% di </w:t>
      </w:r>
      <w:r>
        <w:lastRenderedPageBreak/>
        <w:t>8.500 euro), per un totale di 10.200 euro. Il venditore, tuttavia, vedrebbe ridursi il proprio margine di profitto.</w:t>
      </w:r>
      <w:r>
        <w:rPr>
          <w:rFonts w:ascii="Arial" w:hAnsi="Arial" w:cs="Arial"/>
        </w:rPr>
        <w:t>​</w:t>
      </w:r>
    </w:p>
    <w:p w14:paraId="54948E0F" w14:textId="62BA3537" w:rsidR="005133FF" w:rsidRDefault="00BD3D1C" w:rsidP="00BD3D1C">
      <w:r w:rsidRPr="00BD3D1C">
        <w:t xml:space="preserve">Un aspetto cruciale da considerare nell'ambito dei modelli di margine riguarda l'incidenza del dazio sulle strutture di prezzo e sui costi aziendali. </w:t>
      </w:r>
    </w:p>
    <w:p w14:paraId="255E021B" w14:textId="60DDD8DB" w:rsidR="00460D10" w:rsidRDefault="008244DD" w:rsidP="00E06FEB">
      <w:pPr>
        <w:jc w:val="both"/>
      </w:pPr>
      <w:r>
        <w:t xml:space="preserve">Cominciamo col </w:t>
      </w:r>
      <w:r w:rsidR="001663C2">
        <w:t xml:space="preserve">comprenderne gli effetti sul margine di contribuzione (Ricavi – Costi Variabili) e sul reddito netto (Ricavi – Costi Variabili – </w:t>
      </w:r>
      <w:r w:rsidR="00460D10">
        <w:t xml:space="preserve">Costi Fissi) </w:t>
      </w:r>
      <w:r w:rsidR="00AC6643">
        <w:t xml:space="preserve">per il venditore. </w:t>
      </w:r>
    </w:p>
    <w:p w14:paraId="4870AA61" w14:textId="5084EFAA" w:rsidR="008244DD" w:rsidRDefault="008244DD" w:rsidP="00E06FEB">
      <w:pPr>
        <w:jc w:val="both"/>
      </w:pPr>
      <w:r>
        <w:t>In presenza di un</w:t>
      </w:r>
      <w:r w:rsidR="00E867CF">
        <w:t>o sconto (s) a seguito di un</w:t>
      </w:r>
      <w:r>
        <w:t xml:space="preserve"> dazi</w:t>
      </w:r>
      <w:r w:rsidR="00E867CF">
        <w:t xml:space="preserve">o </w:t>
      </w:r>
      <w:r>
        <w:t xml:space="preserve">la formula del margine di contribuzione </w:t>
      </w:r>
      <w:r w:rsidR="00431126">
        <w:t xml:space="preserve">per </w:t>
      </w:r>
      <w:r w:rsidR="00E867CF">
        <w:t xml:space="preserve">il venditore </w:t>
      </w:r>
      <w:r>
        <w:t>diventa</w:t>
      </w:r>
    </w:p>
    <w:p w14:paraId="5B498228" w14:textId="49D79322" w:rsidR="001663C2" w:rsidRDefault="00460D10" w:rsidP="008244DD">
      <w:pPr>
        <w:jc w:val="center"/>
      </w:pPr>
      <m:oMathPara>
        <m:oMath>
          <m:r>
            <w:rPr>
              <w:rFonts w:ascii="Cambria Math" w:hAnsi="Cambria Math"/>
            </w:rPr>
            <m:t>Mdc=[p</m:t>
          </m:r>
          <m:d>
            <m:dPr>
              <m:ctrlPr>
                <w:rPr>
                  <w:rFonts w:ascii="Cambria Math" w:hAnsi="Cambria Math"/>
                  <w:i/>
                </w:rPr>
              </m:ctrlPr>
            </m:dPr>
            <m:e>
              <m:r>
                <w:rPr>
                  <w:rFonts w:ascii="Cambria Math" w:hAnsi="Cambria Math"/>
                </w:rPr>
                <m:t>1-s</m:t>
              </m:r>
            </m:e>
          </m:d>
          <m:r>
            <w:rPr>
              <w:rFonts w:ascii="Cambria Math" w:hAnsi="Cambria Math"/>
            </w:rPr>
            <m:t>-cv]q</m:t>
          </m:r>
        </m:oMath>
      </m:oMathPara>
    </w:p>
    <w:p w14:paraId="5EB347A6" w14:textId="3F1475C7" w:rsidR="006C35B0" w:rsidRDefault="006C35B0" w:rsidP="00E06FEB">
      <w:pPr>
        <w:jc w:val="both"/>
      </w:pPr>
      <w:r>
        <w:t xml:space="preserve">Se consideriamo </w:t>
      </w:r>
    </w:p>
    <w:p w14:paraId="5BDC0545" w14:textId="59EC0272" w:rsidR="009E63A6" w:rsidRDefault="009E63A6" w:rsidP="009E63A6">
      <w:pPr>
        <w:jc w:val="center"/>
      </w:pPr>
      <m:oMathPara>
        <m:oMath>
          <m:r>
            <w:rPr>
              <w:rFonts w:ascii="Cambria Math" w:hAnsi="Cambria Math"/>
            </w:rPr>
            <m:t>t=1-s</m:t>
          </m:r>
        </m:oMath>
      </m:oMathPara>
    </w:p>
    <w:p w14:paraId="59C54DC5" w14:textId="79A47590" w:rsidR="009E63A6" w:rsidRDefault="009E63A6" w:rsidP="00E06FEB">
      <w:pPr>
        <w:jc w:val="both"/>
      </w:pPr>
      <w:r>
        <w:t xml:space="preserve">La formula diventa </w:t>
      </w:r>
    </w:p>
    <w:p w14:paraId="554D719D" w14:textId="3D699104" w:rsidR="009E63A6" w:rsidRDefault="009E63A6" w:rsidP="009E63A6">
      <w:pPr>
        <w:jc w:val="center"/>
      </w:pPr>
      <m:oMathPara>
        <m:oMath>
          <m:r>
            <w:rPr>
              <w:rFonts w:ascii="Cambria Math" w:hAnsi="Cambria Math"/>
            </w:rPr>
            <m:t>Mdc=(pt-cv)q</m:t>
          </m:r>
        </m:oMath>
      </m:oMathPara>
    </w:p>
    <w:p w14:paraId="4EC1EAF1" w14:textId="77777777" w:rsidR="009E63A6" w:rsidRDefault="009E63A6" w:rsidP="00E06FEB">
      <w:pPr>
        <w:jc w:val="both"/>
      </w:pPr>
    </w:p>
    <w:p w14:paraId="5F14DFD6" w14:textId="50B2AD64" w:rsidR="00492E0E" w:rsidRDefault="006C35B0" w:rsidP="00E06FEB">
      <w:pPr>
        <w:jc w:val="both"/>
      </w:pPr>
      <w:r>
        <w:t xml:space="preserve">Se vogliamo calcolare la differenza in percentuale </w:t>
      </w:r>
      <w:r w:rsidR="00492E0E">
        <w:t xml:space="preserve">del margine di contribuzione </w:t>
      </w:r>
      <w:r w:rsidR="00FC42BF">
        <w:t>scriveremo</w:t>
      </w:r>
    </w:p>
    <w:p w14:paraId="3F8DA71D" w14:textId="07817E31" w:rsidR="0053757C" w:rsidRDefault="0053757C" w:rsidP="0053757C">
      <w:pPr>
        <w:jc w:val="both"/>
      </w:pPr>
      <m:oMathPara>
        <m:oMath>
          <m:r>
            <w:rPr>
              <w:rFonts w:ascii="Cambria Math" w:hAnsi="Cambria Math"/>
            </w:rPr>
            <m:t>∆Mdc=</m:t>
          </m:r>
          <m:f>
            <m:fPr>
              <m:ctrlPr>
                <w:rPr>
                  <w:rFonts w:ascii="Cambria Math" w:hAnsi="Cambria Math"/>
                  <w:i/>
                </w:rPr>
              </m:ctrlPr>
            </m:fPr>
            <m:num>
              <m:d>
                <m:dPr>
                  <m:ctrlPr>
                    <w:rPr>
                      <w:rFonts w:ascii="Cambria Math" w:hAnsi="Cambria Math"/>
                      <w:i/>
                    </w:rPr>
                  </m:ctrlPr>
                </m:dPr>
                <m:e>
                  <m:r>
                    <w:rPr>
                      <w:rFonts w:ascii="Cambria Math" w:hAnsi="Cambria Math"/>
                    </w:rPr>
                    <m:t>pt-cv</m:t>
                  </m:r>
                </m:e>
              </m:d>
              <m:r>
                <w:rPr>
                  <w:rFonts w:ascii="Cambria Math" w:hAnsi="Cambria Math"/>
                </w:rPr>
                <m:t>-(p-cv)</m:t>
              </m:r>
            </m:num>
            <m:den>
              <m:r>
                <w:rPr>
                  <w:rFonts w:ascii="Cambria Math" w:hAnsi="Cambria Math"/>
                </w:rPr>
                <m:t>(p-cv)</m:t>
              </m:r>
            </m:den>
          </m:f>
          <m:r>
            <w:rPr>
              <w:rFonts w:ascii="Cambria Math" w:hAnsi="Cambria Math"/>
            </w:rPr>
            <m:t>=</m:t>
          </m:r>
          <m:f>
            <m:fPr>
              <m:ctrlPr>
                <w:rPr>
                  <w:rFonts w:ascii="Cambria Math" w:hAnsi="Cambria Math"/>
                  <w:i/>
                </w:rPr>
              </m:ctrlPr>
            </m:fPr>
            <m:num>
              <m:r>
                <w:rPr>
                  <w:rFonts w:ascii="Cambria Math" w:hAnsi="Cambria Math"/>
                </w:rPr>
                <m:t>pt-p</m:t>
              </m:r>
            </m:num>
            <m:den>
              <m:d>
                <m:dPr>
                  <m:ctrlPr>
                    <w:rPr>
                      <w:rFonts w:ascii="Cambria Math" w:hAnsi="Cambria Math"/>
                      <w:i/>
                    </w:rPr>
                  </m:ctrlPr>
                </m:dPr>
                <m:e>
                  <m:r>
                    <w:rPr>
                      <w:rFonts w:ascii="Cambria Math" w:hAnsi="Cambria Math"/>
                    </w:rPr>
                    <m:t>p-cv</m:t>
                  </m:r>
                </m:e>
              </m:d>
            </m:den>
          </m:f>
          <m:r>
            <w:rPr>
              <w:rFonts w:ascii="Cambria Math" w:hAnsi="Cambria Math"/>
            </w:rPr>
            <m:t>=</m:t>
          </m:r>
          <m:f>
            <m:fPr>
              <m:ctrlPr>
                <w:rPr>
                  <w:rFonts w:ascii="Cambria Math" w:hAnsi="Cambria Math"/>
                  <w:i/>
                </w:rPr>
              </m:ctrlPr>
            </m:fPr>
            <m:num>
              <m:r>
                <w:rPr>
                  <w:rFonts w:ascii="Cambria Math" w:hAnsi="Cambria Math"/>
                </w:rPr>
                <m:t>p(t-1)</m:t>
              </m:r>
            </m:num>
            <m:den>
              <m:d>
                <m:dPr>
                  <m:ctrlPr>
                    <w:rPr>
                      <w:rFonts w:ascii="Cambria Math" w:hAnsi="Cambria Math"/>
                      <w:i/>
                    </w:rPr>
                  </m:ctrlPr>
                </m:dPr>
                <m:e>
                  <m:r>
                    <w:rPr>
                      <w:rFonts w:ascii="Cambria Math" w:hAnsi="Cambria Math"/>
                    </w:rPr>
                    <m:t>p-cv</m:t>
                  </m:r>
                </m:e>
              </m:d>
            </m:den>
          </m:f>
        </m:oMath>
      </m:oMathPara>
    </w:p>
    <w:p w14:paraId="241498C1" w14:textId="77777777" w:rsidR="00532D65" w:rsidRDefault="00116262" w:rsidP="00532D65">
      <w:pPr>
        <w:rPr>
          <w:rFonts w:eastAsiaTheme="minorEastAsia"/>
        </w:rPr>
      </w:pPr>
      <w:r>
        <w:t xml:space="preserve">Poiché </w:t>
      </w:r>
      <w:r w:rsidR="00532D65">
        <w:t xml:space="preserve"> </w:t>
      </w:r>
      <m:oMath>
        <m:r>
          <w:rPr>
            <w:rFonts w:ascii="Cambria Math" w:hAnsi="Cambria Math"/>
          </w:rPr>
          <m:t>t=1-d</m:t>
        </m:r>
      </m:oMath>
      <w:r w:rsidR="00532D65">
        <w:rPr>
          <w:rFonts w:eastAsiaTheme="minorEastAsia"/>
        </w:rPr>
        <w:t xml:space="preserve"> abbiamo:</w:t>
      </w:r>
    </w:p>
    <w:p w14:paraId="1C1395EB" w14:textId="134FFAFD" w:rsidR="00532D65" w:rsidRDefault="00532D65" w:rsidP="00532D65">
      <w:pPr>
        <w:jc w:val="both"/>
      </w:pPr>
      <w:r>
        <w:rPr>
          <w:rFonts w:eastAsiaTheme="minorEastAsia"/>
        </w:rPr>
        <w:t xml:space="preserve"> </w:t>
      </w:r>
      <w:r w:rsidRPr="00532D65">
        <w:rPr>
          <w:rFonts w:ascii="Cambria Math" w:hAnsi="Cambria Math"/>
          <w:i/>
        </w:rPr>
        <w:br/>
      </w:r>
      <m:oMathPara>
        <m:oMath>
          <m:r>
            <w:rPr>
              <w:rFonts w:ascii="Cambria Math" w:hAnsi="Cambria Math"/>
            </w:rPr>
            <m:t>∆Mdc=-</m:t>
          </m:r>
          <m:f>
            <m:fPr>
              <m:ctrlPr>
                <w:rPr>
                  <w:rFonts w:ascii="Cambria Math" w:hAnsi="Cambria Math"/>
                  <w:i/>
                </w:rPr>
              </m:ctrlPr>
            </m:fPr>
            <m:num>
              <m:r>
                <w:rPr>
                  <w:rFonts w:ascii="Cambria Math" w:hAnsi="Cambria Math"/>
                </w:rPr>
                <m:t>dp</m:t>
              </m:r>
            </m:num>
            <m:den>
              <m:d>
                <m:dPr>
                  <m:ctrlPr>
                    <w:rPr>
                      <w:rFonts w:ascii="Cambria Math" w:hAnsi="Cambria Math"/>
                      <w:i/>
                    </w:rPr>
                  </m:ctrlPr>
                </m:dPr>
                <m:e>
                  <m:r>
                    <w:rPr>
                      <w:rFonts w:ascii="Cambria Math" w:hAnsi="Cambria Math"/>
                    </w:rPr>
                    <m:t>p-cv</m:t>
                  </m:r>
                </m:e>
              </m:d>
            </m:den>
          </m:f>
        </m:oMath>
      </m:oMathPara>
    </w:p>
    <w:p w14:paraId="56D04D4A" w14:textId="5766ED6E" w:rsidR="00116262" w:rsidRDefault="006579B8" w:rsidP="00532D65">
      <w:r>
        <w:t xml:space="preserve">Dal momento che  </w:t>
      </w:r>
      <m:oMath>
        <m:f>
          <m:fPr>
            <m:ctrlPr>
              <w:rPr>
                <w:rFonts w:ascii="Cambria Math" w:hAnsi="Cambria Math"/>
                <w:i/>
                <w:sz w:val="32"/>
                <w:szCs w:val="32"/>
              </w:rPr>
            </m:ctrlPr>
          </m:fPr>
          <m:num>
            <m:r>
              <w:rPr>
                <w:rFonts w:ascii="Cambria Math" w:hAnsi="Cambria Math"/>
                <w:sz w:val="32"/>
                <w:szCs w:val="32"/>
              </w:rPr>
              <m:t>p</m:t>
            </m:r>
          </m:num>
          <m:den>
            <m:d>
              <m:dPr>
                <m:ctrlPr>
                  <w:rPr>
                    <w:rFonts w:ascii="Cambria Math" w:hAnsi="Cambria Math"/>
                    <w:i/>
                    <w:sz w:val="32"/>
                    <w:szCs w:val="32"/>
                  </w:rPr>
                </m:ctrlPr>
              </m:dPr>
              <m:e>
                <m:r>
                  <w:rPr>
                    <w:rFonts w:ascii="Cambria Math" w:hAnsi="Cambria Math"/>
                    <w:sz w:val="32"/>
                    <w:szCs w:val="32"/>
                  </w:rPr>
                  <m:t>p-cv</m:t>
                </m:r>
              </m:e>
            </m:d>
          </m:den>
        </m:f>
        <m:r>
          <w:rPr>
            <w:rFonts w:ascii="Cambria Math" w:hAnsi="Cambria Math"/>
            <w:sz w:val="32"/>
            <w:szCs w:val="32"/>
          </w:rPr>
          <m:t xml:space="preserve"> </m:t>
        </m:r>
      </m:oMath>
      <w:r w:rsidRPr="00BE3143">
        <w:t xml:space="preserve">altro non è che la marginalità </w:t>
      </w:r>
      <w:r w:rsidR="00BE3143" w:rsidRPr="00BE3143">
        <w:t>percentuale che chiameremo m</w:t>
      </w:r>
      <w:r w:rsidR="00BE3143">
        <w:t xml:space="preserve"> </w:t>
      </w:r>
      <w:r w:rsidR="00B85146">
        <w:t xml:space="preserve">possiamo affermare che: </w:t>
      </w:r>
    </w:p>
    <w:p w14:paraId="20AE04D6" w14:textId="3ECF30E8" w:rsidR="00B85146" w:rsidRDefault="00B85146" w:rsidP="00B85146">
      <w:pPr>
        <w:jc w:val="both"/>
      </w:pPr>
      <m:oMathPara>
        <m:oMath>
          <m:r>
            <w:rPr>
              <w:rFonts w:ascii="Cambria Math" w:hAnsi="Cambria Math"/>
            </w:rPr>
            <m:t>∆Mdc=-</m:t>
          </m:r>
          <m:f>
            <m:fPr>
              <m:ctrlPr>
                <w:rPr>
                  <w:rFonts w:ascii="Cambria Math" w:hAnsi="Cambria Math"/>
                  <w:i/>
                </w:rPr>
              </m:ctrlPr>
            </m:fPr>
            <m:num>
              <m:r>
                <w:rPr>
                  <w:rFonts w:ascii="Cambria Math" w:hAnsi="Cambria Math"/>
                </w:rPr>
                <m:t>s</m:t>
              </m:r>
            </m:num>
            <m:den>
              <m:r>
                <w:rPr>
                  <w:rFonts w:ascii="Cambria Math" w:hAnsi="Cambria Math"/>
                </w:rPr>
                <m:t>m</m:t>
              </m:r>
            </m:den>
          </m:f>
        </m:oMath>
      </m:oMathPara>
    </w:p>
    <w:p w14:paraId="73B1118A" w14:textId="17186E63" w:rsidR="005F1295" w:rsidRDefault="00404F29" w:rsidP="00E06FEB">
      <w:pPr>
        <w:jc w:val="both"/>
      </w:pPr>
      <w:r>
        <w:t xml:space="preserve">Dove </w:t>
      </w:r>
      <w:proofErr w:type="gramStart"/>
      <w:r w:rsidR="001678F1">
        <w:t xml:space="preserve">s </w:t>
      </w:r>
      <w:r>
        <w:t>è</w:t>
      </w:r>
      <w:proofErr w:type="gramEnd"/>
      <w:r>
        <w:t xml:space="preserve"> la percentuale </w:t>
      </w:r>
      <w:r w:rsidR="001678F1">
        <w:t xml:space="preserve">di sconto </w:t>
      </w:r>
      <w:r w:rsidR="00F33AC9">
        <w:t xml:space="preserve">e m il margine percentuale </w:t>
      </w:r>
      <w:r w:rsidR="008E2494">
        <w:t xml:space="preserve">ante </w:t>
      </w:r>
      <w:r w:rsidR="001678F1">
        <w:t>sconto</w:t>
      </w:r>
      <w:r w:rsidR="008E2494">
        <w:t xml:space="preserve">. </w:t>
      </w:r>
    </w:p>
    <w:p w14:paraId="00B906F5" w14:textId="51A72A5A" w:rsidR="000B48D6" w:rsidRDefault="00C908D3" w:rsidP="000B48D6">
      <w:pPr>
        <w:keepNext/>
        <w:jc w:val="both"/>
      </w:pPr>
      <w:r>
        <w:rPr>
          <w:noProof/>
        </w:rPr>
        <w:lastRenderedPageBreak/>
        <w:drawing>
          <wp:inline distT="0" distB="0" distL="0" distR="0" wp14:anchorId="37005BAC" wp14:editId="2C9B808C">
            <wp:extent cx="6130452" cy="3555242"/>
            <wp:effectExtent l="0" t="0" r="3810" b="7620"/>
            <wp:docPr id="1340710246"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31661" cy="3555943"/>
                    </a:xfrm>
                    <a:prstGeom prst="rect">
                      <a:avLst/>
                    </a:prstGeom>
                    <a:noFill/>
                  </pic:spPr>
                </pic:pic>
              </a:graphicData>
            </a:graphic>
          </wp:inline>
        </w:drawing>
      </w:r>
    </w:p>
    <w:p w14:paraId="3F777CF6" w14:textId="1303C567" w:rsidR="002C37F4" w:rsidRDefault="000B48D6" w:rsidP="000B48D6">
      <w:pPr>
        <w:pStyle w:val="Didascalia"/>
        <w:jc w:val="both"/>
      </w:pPr>
      <w:r>
        <w:t xml:space="preserve">Figura </w:t>
      </w:r>
      <w:fldSimple w:instr=" SEQ Figura \* ARABIC ">
        <w:r w:rsidR="00245A50">
          <w:rPr>
            <w:noProof/>
          </w:rPr>
          <w:t>1</w:t>
        </w:r>
      </w:fldSimple>
      <w:r>
        <w:t xml:space="preserve">: Relazione </w:t>
      </w:r>
      <w:r w:rsidR="00C908D3">
        <w:t>sconto</w:t>
      </w:r>
      <w:r w:rsidR="007566DE">
        <w:t xml:space="preserve"> 20%</w:t>
      </w:r>
      <w:r>
        <w:t xml:space="preserve"> e perdita di Mdc</w:t>
      </w:r>
    </w:p>
    <w:p w14:paraId="23459719" w14:textId="5AE6BB90" w:rsidR="00753396" w:rsidRDefault="004F30E4" w:rsidP="00D07BD8">
      <w:pPr>
        <w:jc w:val="both"/>
      </w:pPr>
      <w:r>
        <w:t xml:space="preserve">Dalla figura </w:t>
      </w:r>
      <w:r w:rsidR="00BA448B">
        <w:t xml:space="preserve">e dalla formula </w:t>
      </w:r>
      <w:r>
        <w:t xml:space="preserve">si intuisce </w:t>
      </w:r>
      <w:r w:rsidR="00BA448B">
        <w:t xml:space="preserve">che l’effetto </w:t>
      </w:r>
      <w:r w:rsidR="00DB71B0">
        <w:t xml:space="preserve">sul reddito </w:t>
      </w:r>
      <w:r w:rsidR="00BA448B">
        <w:t>è tan</w:t>
      </w:r>
      <w:r w:rsidR="00DB71B0">
        <w:t xml:space="preserve">to più pronunciato quanto più </w:t>
      </w:r>
      <w:r w:rsidR="00D07BD8">
        <w:t xml:space="preserve">il margine di partenza è basso e </w:t>
      </w:r>
      <w:r>
        <w:t xml:space="preserve">come </w:t>
      </w:r>
      <w:r w:rsidR="00BC34B6">
        <w:t>per non azzerare completamente il margine di contribuzione (</w:t>
      </w:r>
      <w:r w:rsidR="0080625E">
        <w:t xml:space="preserve">∆Mdc = -100%) occorre che il margine di partenza non </w:t>
      </w:r>
      <w:r w:rsidR="00BA448B">
        <w:t>sia inferiore al</w:t>
      </w:r>
      <w:r w:rsidR="00EF28AB">
        <w:t>lo sconto applicato</w:t>
      </w:r>
      <w:r w:rsidR="00BA448B">
        <w:t>.</w:t>
      </w:r>
    </w:p>
    <w:p w14:paraId="4B7FB716" w14:textId="379B8459" w:rsidR="00D07BD8" w:rsidRDefault="00B40411" w:rsidP="00D07BD8">
      <w:pPr>
        <w:jc w:val="both"/>
      </w:pPr>
      <w:r>
        <w:t>Con il mede</w:t>
      </w:r>
      <w:r w:rsidR="004C7076">
        <w:t xml:space="preserve">simo procedimento si può calcolare l’effetto </w:t>
      </w:r>
      <w:r w:rsidR="00CC5114">
        <w:t>sul reddito netto, basterà aggiungere CF alla nostra formula.</w:t>
      </w:r>
    </w:p>
    <w:p w14:paraId="4705E885" w14:textId="6564CFB5" w:rsidR="000E5442" w:rsidRDefault="000E5442" w:rsidP="000E5442">
      <w:pPr>
        <w:jc w:val="both"/>
      </w:pPr>
      <m:oMathPara>
        <m:oMath>
          <m:r>
            <w:rPr>
              <w:rFonts w:ascii="Cambria Math" w:hAnsi="Cambria Math"/>
            </w:rPr>
            <m:t>∆RN=</m:t>
          </m:r>
          <m:f>
            <m:fPr>
              <m:ctrlPr>
                <w:rPr>
                  <w:rFonts w:ascii="Cambria Math" w:hAnsi="Cambria Math"/>
                  <w:i/>
                </w:rPr>
              </m:ctrlPr>
            </m:fPr>
            <m:num>
              <m:d>
                <m:dPr>
                  <m:ctrlPr>
                    <w:rPr>
                      <w:rFonts w:ascii="Cambria Math" w:hAnsi="Cambria Math"/>
                      <w:i/>
                    </w:rPr>
                  </m:ctrlPr>
                </m:dPr>
                <m:e>
                  <m:r>
                    <w:rPr>
                      <w:rFonts w:ascii="Cambria Math" w:hAnsi="Cambria Math"/>
                    </w:rPr>
                    <m:t>pt-cv</m:t>
                  </m:r>
                </m:e>
              </m:d>
              <m:r>
                <w:rPr>
                  <w:rFonts w:ascii="Cambria Math" w:hAnsi="Cambria Math"/>
                </w:rPr>
                <m:t>q-CF-[</m:t>
              </m:r>
              <m:d>
                <m:dPr>
                  <m:ctrlPr>
                    <w:rPr>
                      <w:rFonts w:ascii="Cambria Math" w:hAnsi="Cambria Math"/>
                      <w:i/>
                    </w:rPr>
                  </m:ctrlPr>
                </m:dPr>
                <m:e>
                  <m:r>
                    <w:rPr>
                      <w:rFonts w:ascii="Cambria Math" w:hAnsi="Cambria Math"/>
                    </w:rPr>
                    <m:t>p-cv</m:t>
                  </m:r>
                </m:e>
              </m:d>
              <m:r>
                <w:rPr>
                  <w:rFonts w:ascii="Cambria Math" w:hAnsi="Cambria Math"/>
                </w:rPr>
                <m:t>q-CF]</m:t>
              </m:r>
            </m:num>
            <m:den>
              <m:r>
                <w:rPr>
                  <w:rFonts w:ascii="Cambria Math" w:hAnsi="Cambria Math"/>
                </w:rPr>
                <m:t>RN</m:t>
              </m:r>
            </m:den>
          </m:f>
          <m:r>
            <w:rPr>
              <w:rFonts w:ascii="Cambria Math" w:hAnsi="Cambria Math"/>
            </w:rPr>
            <m:t>=</m:t>
          </m:r>
          <m:f>
            <m:fPr>
              <m:ctrlPr>
                <w:rPr>
                  <w:rFonts w:ascii="Cambria Math" w:hAnsi="Cambria Math"/>
                  <w:i/>
                </w:rPr>
              </m:ctrlPr>
            </m:fPr>
            <m:num>
              <m:r>
                <w:rPr>
                  <w:rFonts w:ascii="Cambria Math" w:hAnsi="Cambria Math"/>
                </w:rPr>
                <m:t>pqt-pq</m:t>
              </m:r>
            </m:num>
            <m:den>
              <m:r>
                <w:rPr>
                  <w:rFonts w:ascii="Cambria Math" w:hAnsi="Cambria Math"/>
                </w:rPr>
                <m:t>RN</m:t>
              </m:r>
            </m:den>
          </m:f>
          <m:r>
            <w:rPr>
              <w:rFonts w:ascii="Cambria Math" w:hAnsi="Cambria Math"/>
            </w:rPr>
            <m:t>=</m:t>
          </m:r>
          <m:f>
            <m:fPr>
              <m:ctrlPr>
                <w:rPr>
                  <w:rFonts w:ascii="Cambria Math" w:hAnsi="Cambria Math"/>
                  <w:i/>
                </w:rPr>
              </m:ctrlPr>
            </m:fPr>
            <m:num>
              <m:r>
                <w:rPr>
                  <w:rFonts w:ascii="Cambria Math" w:hAnsi="Cambria Math"/>
                </w:rPr>
                <m:t>pq(t-1)</m:t>
              </m:r>
            </m:num>
            <m:den>
              <m:r>
                <w:rPr>
                  <w:rFonts w:ascii="Cambria Math" w:hAnsi="Cambria Math"/>
                </w:rPr>
                <m:t>RN</m:t>
              </m:r>
            </m:den>
          </m:f>
          <m:r>
            <w:rPr>
              <w:rFonts w:ascii="Cambria Math" w:hAnsi="Cambria Math"/>
            </w:rPr>
            <m:t>=-</m:t>
          </m:r>
          <m:f>
            <m:fPr>
              <m:ctrlPr>
                <w:rPr>
                  <w:rFonts w:ascii="Cambria Math" w:hAnsi="Cambria Math"/>
                  <w:i/>
                </w:rPr>
              </m:ctrlPr>
            </m:fPr>
            <m:num>
              <m:r>
                <w:rPr>
                  <w:rFonts w:ascii="Cambria Math" w:hAnsi="Cambria Math"/>
                </w:rPr>
                <m:t>pqs</m:t>
              </m:r>
            </m:num>
            <m:den>
              <m:r>
                <w:rPr>
                  <w:rFonts w:ascii="Cambria Math" w:hAnsi="Cambria Math"/>
                </w:rPr>
                <m:t>RN</m:t>
              </m:r>
            </m:den>
          </m:f>
        </m:oMath>
      </m:oMathPara>
    </w:p>
    <w:p w14:paraId="5386BC2A" w14:textId="4B1EF720" w:rsidR="00B40411" w:rsidRDefault="0074506D" w:rsidP="00D07BD8">
      <w:pPr>
        <w:jc w:val="both"/>
      </w:pPr>
      <w:r>
        <w:t>Poiché</w:t>
      </w:r>
      <w:r w:rsidR="0034086E">
        <w:t xml:space="preserve"> </w:t>
      </w:r>
      <w:r>
        <w:t xml:space="preserve"> </w:t>
      </w:r>
      <m:oMath>
        <m:r>
          <w:rPr>
            <w:rFonts w:ascii="Cambria Math" w:hAnsi="Cambria Math"/>
          </w:rPr>
          <m:t>r=</m:t>
        </m:r>
        <m:f>
          <m:fPr>
            <m:ctrlPr>
              <w:rPr>
                <w:rFonts w:ascii="Cambria Math" w:hAnsi="Cambria Math"/>
                <w:i/>
                <w:sz w:val="32"/>
                <w:szCs w:val="32"/>
              </w:rPr>
            </m:ctrlPr>
          </m:fPr>
          <m:num>
            <m:r>
              <w:rPr>
                <w:rFonts w:ascii="Cambria Math" w:hAnsi="Cambria Math"/>
                <w:sz w:val="32"/>
                <w:szCs w:val="32"/>
              </w:rPr>
              <m:t>Fatt</m:t>
            </m:r>
          </m:num>
          <m:den>
            <m:r>
              <w:rPr>
                <w:rFonts w:ascii="Cambria Math" w:hAnsi="Cambria Math"/>
                <w:sz w:val="32"/>
                <w:szCs w:val="32"/>
              </w:rPr>
              <m:t>RN</m:t>
            </m:r>
          </m:den>
        </m:f>
      </m:oMath>
      <w:r w:rsidR="009B034B">
        <w:rPr>
          <w:rFonts w:eastAsiaTheme="minorEastAsia"/>
          <w:sz w:val="32"/>
          <w:szCs w:val="32"/>
        </w:rPr>
        <w:t xml:space="preserve"> </w:t>
      </w:r>
      <w:r w:rsidR="0034086E">
        <w:rPr>
          <w:rFonts w:eastAsiaTheme="minorEastAsia"/>
          <w:sz w:val="32"/>
          <w:szCs w:val="32"/>
        </w:rPr>
        <w:t xml:space="preserve"> </w:t>
      </w:r>
      <w:r w:rsidR="009B034B">
        <w:t xml:space="preserve">altro non è che </w:t>
      </w:r>
      <w:r w:rsidR="00B043C0">
        <w:t xml:space="preserve">la redditività netta delle vendite </w:t>
      </w:r>
      <w:r w:rsidR="007E0C43">
        <w:t xml:space="preserve">possiamo riscrivere la formula in </w:t>
      </w:r>
    </w:p>
    <w:p w14:paraId="0CFF3F08" w14:textId="61D2124D" w:rsidR="007E0C43" w:rsidRPr="00753396" w:rsidRDefault="007E0C43" w:rsidP="00D07BD8">
      <w:pPr>
        <w:jc w:val="both"/>
      </w:pPr>
      <m:oMathPara>
        <m:oMath>
          <m:r>
            <w:rPr>
              <w:rFonts w:ascii="Cambria Math" w:hAnsi="Cambria Math"/>
            </w:rPr>
            <m:t>∆RN=-</m:t>
          </m:r>
          <m:f>
            <m:fPr>
              <m:ctrlPr>
                <w:rPr>
                  <w:rFonts w:ascii="Cambria Math" w:hAnsi="Cambria Math"/>
                  <w:i/>
                </w:rPr>
              </m:ctrlPr>
            </m:fPr>
            <m:num>
              <m:r>
                <w:rPr>
                  <w:rFonts w:ascii="Cambria Math" w:hAnsi="Cambria Math"/>
                </w:rPr>
                <m:t>s</m:t>
              </m:r>
            </m:num>
            <m:den>
              <m:r>
                <w:rPr>
                  <w:rFonts w:ascii="Cambria Math" w:hAnsi="Cambria Math"/>
                </w:rPr>
                <m:t>r</m:t>
              </m:r>
            </m:den>
          </m:f>
        </m:oMath>
      </m:oMathPara>
    </w:p>
    <w:p w14:paraId="04AC4451" w14:textId="4C84FD79" w:rsidR="007168F0" w:rsidRDefault="007168F0" w:rsidP="00BD3D1C">
      <w:r>
        <w:t xml:space="preserve">Che </w:t>
      </w:r>
      <w:r w:rsidR="00796FE5">
        <w:t xml:space="preserve">con </w:t>
      </w:r>
      <w:proofErr w:type="gramStart"/>
      <w:r w:rsidR="00796FE5">
        <w:t>un rappresentazione</w:t>
      </w:r>
      <w:proofErr w:type="gramEnd"/>
      <w:r w:rsidR="00796FE5">
        <w:t xml:space="preserve"> grafica diventa</w:t>
      </w:r>
    </w:p>
    <w:p w14:paraId="3336AA85" w14:textId="2B66E5F2" w:rsidR="003D764A" w:rsidRDefault="00AA09B7" w:rsidP="003D764A">
      <w:pPr>
        <w:keepNext/>
      </w:pPr>
      <w:r>
        <w:rPr>
          <w:noProof/>
        </w:rPr>
        <w:lastRenderedPageBreak/>
        <w:drawing>
          <wp:inline distT="0" distB="0" distL="0" distR="0" wp14:anchorId="2035D14E" wp14:editId="3970BA7C">
            <wp:extent cx="5839180" cy="3391469"/>
            <wp:effectExtent l="0" t="0" r="0" b="0"/>
            <wp:docPr id="1303110524"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3237" cy="3393825"/>
                    </a:xfrm>
                    <a:prstGeom prst="rect">
                      <a:avLst/>
                    </a:prstGeom>
                    <a:noFill/>
                  </pic:spPr>
                </pic:pic>
              </a:graphicData>
            </a:graphic>
          </wp:inline>
        </w:drawing>
      </w:r>
    </w:p>
    <w:p w14:paraId="205307A2" w14:textId="3E1082A2" w:rsidR="00796FE5" w:rsidRDefault="003D764A" w:rsidP="003D764A">
      <w:pPr>
        <w:pStyle w:val="Didascalia"/>
      </w:pPr>
      <w:r>
        <w:t xml:space="preserve">Figura </w:t>
      </w:r>
      <w:fldSimple w:instr=" SEQ Figura \* ARABIC ">
        <w:r w:rsidR="00245A50">
          <w:rPr>
            <w:noProof/>
          </w:rPr>
          <w:t>2</w:t>
        </w:r>
      </w:fldSimple>
      <w:r>
        <w:t xml:space="preserve">: La perdita sul reddito netto derivante </w:t>
      </w:r>
      <w:r w:rsidR="007566DE">
        <w:t>da uno sconto del 20%</w:t>
      </w:r>
    </w:p>
    <w:p w14:paraId="2BF95EE2" w14:textId="2EAE87EA" w:rsidR="009B4618" w:rsidRDefault="009B4618" w:rsidP="005E44E6">
      <w:pPr>
        <w:jc w:val="both"/>
      </w:pPr>
      <w:r>
        <w:t xml:space="preserve">Anche in questo caso il punto di </w:t>
      </w:r>
      <w:r w:rsidR="00867CD2">
        <w:t>sostenibilità del</w:t>
      </w:r>
      <w:r w:rsidR="00AA09B7">
        <w:t xml:space="preserve">lo sconto </w:t>
      </w:r>
      <w:r w:rsidR="00867CD2">
        <w:t xml:space="preserve">è pari ad una redditività delle vendite pari al </w:t>
      </w:r>
      <w:r w:rsidR="005E44E6">
        <w:t>20%.</w:t>
      </w:r>
    </w:p>
    <w:p w14:paraId="34D03E3C" w14:textId="50DA5B5C" w:rsidR="00D80041" w:rsidRDefault="002538C8" w:rsidP="008B5630">
      <w:pPr>
        <w:jc w:val="both"/>
      </w:pPr>
      <w:r>
        <w:t>Per gli allergici alla matema</w:t>
      </w:r>
      <w:r w:rsidR="00DA439F">
        <w:t>tica</w:t>
      </w:r>
      <w:r w:rsidR="0087190F">
        <w:t xml:space="preserve">, proviamo a vedere nella pratica un esempio numerico </w:t>
      </w:r>
      <w:r w:rsidR="00C9515C">
        <w:t xml:space="preserve">sviluppato grazie al tool Break </w:t>
      </w:r>
      <w:proofErr w:type="spellStart"/>
      <w:r w:rsidR="00C9515C">
        <w:t>Even</w:t>
      </w:r>
      <w:proofErr w:type="spellEnd"/>
      <w:r w:rsidR="00C9515C">
        <w:t xml:space="preserve"> Point_24</w:t>
      </w:r>
      <w:r w:rsidR="00DA439F">
        <w:t xml:space="preserve">, un </w:t>
      </w:r>
      <w:r w:rsidR="000F1BD6">
        <w:t xml:space="preserve">tool </w:t>
      </w:r>
      <w:r w:rsidR="005E3B95" w:rsidRPr="005E3B95">
        <w:t>per simulare azioni sulle variabili del punto di pareggio</w:t>
      </w:r>
      <w:r w:rsidR="00105D5C">
        <w:t>.</w:t>
      </w:r>
    </w:p>
    <w:p w14:paraId="704F84A2" w14:textId="7451403A" w:rsidR="002B244E" w:rsidRPr="0063159D" w:rsidRDefault="002B244E" w:rsidP="002B244E">
      <w:pPr>
        <w:rPr>
          <w:b/>
          <w:bCs/>
        </w:rPr>
      </w:pPr>
      <w:r>
        <w:rPr>
          <w:b/>
          <w:bCs/>
        </w:rPr>
        <w:t>La simulazione di un caso</w:t>
      </w:r>
      <w:r w:rsidR="00D24BAB">
        <w:rPr>
          <w:b/>
          <w:bCs/>
        </w:rPr>
        <w:t xml:space="preserve"> aziendale</w:t>
      </w:r>
      <w:r w:rsidR="00061848">
        <w:rPr>
          <w:b/>
          <w:bCs/>
        </w:rPr>
        <w:t>: gli effetti sulle esportazioni</w:t>
      </w:r>
    </w:p>
    <w:p w14:paraId="5D5AC027" w14:textId="4E373E71" w:rsidR="00AF491F" w:rsidRDefault="000C3686" w:rsidP="00286BDF">
      <w:pPr>
        <w:jc w:val="both"/>
      </w:pPr>
      <w:r>
        <w:t>Supponiamo che un</w:t>
      </w:r>
      <w:r w:rsidR="00857594">
        <w:t>’azienda abbia venduto</w:t>
      </w:r>
      <w:r w:rsidR="006054F8">
        <w:t xml:space="preserve"> negli USA</w:t>
      </w:r>
      <w:r w:rsidR="00857594">
        <w:t xml:space="preserve"> fino ad oggi </w:t>
      </w:r>
      <w:r w:rsidR="009D6F2A">
        <w:t xml:space="preserve">10.000 </w:t>
      </w:r>
      <w:r w:rsidR="00857594">
        <w:t xml:space="preserve">prodotti con </w:t>
      </w:r>
      <w:r w:rsidR="00EC1419">
        <w:t xml:space="preserve">un prezzo unitario medio </w:t>
      </w:r>
      <w:proofErr w:type="gramStart"/>
      <w:r w:rsidR="00EC1419">
        <w:t xml:space="preserve">di  </w:t>
      </w:r>
      <w:r w:rsidR="00E81390">
        <w:t>100</w:t>
      </w:r>
      <w:proofErr w:type="gramEnd"/>
      <w:r w:rsidR="00E81390">
        <w:t>,00</w:t>
      </w:r>
      <w:r w:rsidR="00EC1419">
        <w:t xml:space="preserve">, un costo variabile unitario </w:t>
      </w:r>
      <w:proofErr w:type="gramStart"/>
      <w:r w:rsidR="00EC1419">
        <w:t xml:space="preserve">di  </w:t>
      </w:r>
      <w:r w:rsidR="00E81390">
        <w:t>70</w:t>
      </w:r>
      <w:proofErr w:type="gramEnd"/>
      <w:r w:rsidR="00105D5C">
        <w:t>,00</w:t>
      </w:r>
      <w:r w:rsidR="009D6F2A">
        <w:t xml:space="preserve"> </w:t>
      </w:r>
      <w:r>
        <w:t xml:space="preserve">e costi fissi 50.000,00. In assenza di </w:t>
      </w:r>
      <w:r w:rsidR="00EA4276">
        <w:t xml:space="preserve">sconti </w:t>
      </w:r>
      <w:r w:rsidR="009D6F2A">
        <w:t>la situazione potrebbe essere così rappresentata</w:t>
      </w:r>
      <w:r w:rsidR="00AF491F">
        <w:t>.</w:t>
      </w:r>
    </w:p>
    <w:p w14:paraId="35994E31" w14:textId="77777777" w:rsidR="007D231E" w:rsidRDefault="007D231E" w:rsidP="007D231E">
      <w:pPr>
        <w:keepNext/>
        <w:jc w:val="both"/>
      </w:pPr>
      <w:r w:rsidRPr="007D231E">
        <w:rPr>
          <w:noProof/>
        </w:rPr>
        <w:drawing>
          <wp:inline distT="0" distB="0" distL="0" distR="0" wp14:anchorId="65644C5A" wp14:editId="16E6CC16">
            <wp:extent cx="6120130" cy="1176020"/>
            <wp:effectExtent l="0" t="0" r="0" b="5080"/>
            <wp:docPr id="2000563909"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1176020"/>
                    </a:xfrm>
                    <a:prstGeom prst="rect">
                      <a:avLst/>
                    </a:prstGeom>
                    <a:noFill/>
                    <a:ln>
                      <a:noFill/>
                    </a:ln>
                  </pic:spPr>
                </pic:pic>
              </a:graphicData>
            </a:graphic>
          </wp:inline>
        </w:drawing>
      </w:r>
    </w:p>
    <w:p w14:paraId="5559707C" w14:textId="38981ACF" w:rsidR="007D231E" w:rsidRDefault="007D231E" w:rsidP="007D231E">
      <w:pPr>
        <w:pStyle w:val="Didascalia"/>
        <w:jc w:val="both"/>
      </w:pPr>
      <w:r>
        <w:t xml:space="preserve">Figura </w:t>
      </w:r>
      <w:fldSimple w:instr=" SEQ Figura \* ARABIC ">
        <w:r w:rsidR="00245A50">
          <w:rPr>
            <w:noProof/>
          </w:rPr>
          <w:t>3</w:t>
        </w:r>
      </w:fldSimple>
      <w:r>
        <w:t>: Calcolo reddito e valori di pareggio in caso di dazi</w:t>
      </w:r>
    </w:p>
    <w:p w14:paraId="02E9B0B5" w14:textId="734C9B70" w:rsidR="006054F8" w:rsidRDefault="006C211E">
      <w:r>
        <w:t xml:space="preserve">Se l’azienda propone uno sconto </w:t>
      </w:r>
      <w:r w:rsidR="006054F8">
        <w:t xml:space="preserve">al cliente americano </w:t>
      </w:r>
      <w:r>
        <w:t>poniamo del 10%</w:t>
      </w:r>
      <w:r w:rsidR="006054F8">
        <w:t xml:space="preserve"> il cliente vedrà il proprio prezzo </w:t>
      </w:r>
      <w:r w:rsidR="00E85C2C">
        <w:t xml:space="preserve">finale </w:t>
      </w:r>
      <w:r w:rsidR="006054F8">
        <w:t>diventare</w:t>
      </w:r>
    </w:p>
    <w:p w14:paraId="15254EDE" w14:textId="4C24020B" w:rsidR="006054F8" w:rsidRPr="00FD219A" w:rsidRDefault="00002A58" w:rsidP="006054F8">
      <w:pPr>
        <w:jc w:val="center"/>
        <w:rPr>
          <w:rFonts w:eastAsiaTheme="minorEastAsia"/>
        </w:rPr>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=p</m:t>
          </m:r>
          <m:d>
            <m:dPr>
              <m:ctrlPr>
                <w:rPr>
                  <w:rFonts w:ascii="Cambria Math" w:hAnsi="Cambria Math"/>
                  <w:i/>
                </w:rPr>
              </m:ctrlPr>
            </m:dPr>
            <m:e>
              <m:r>
                <w:rPr>
                  <w:rFonts w:ascii="Cambria Math" w:hAnsi="Cambria Math"/>
                </w:rPr>
                <m:t>1-s</m:t>
              </m:r>
            </m:e>
          </m:d>
          <m:d>
            <m:dPr>
              <m:ctrlPr>
                <w:rPr>
                  <w:rFonts w:ascii="Cambria Math" w:hAnsi="Cambria Math"/>
                  <w:i/>
                </w:rPr>
              </m:ctrlPr>
            </m:dPr>
            <m:e>
              <m:r>
                <w:rPr>
                  <w:rFonts w:ascii="Cambria Math" w:hAnsi="Cambria Math"/>
                </w:rPr>
                <m:t>1+d</m:t>
              </m:r>
            </m:e>
          </m:d>
          <m:r>
            <w:rPr>
              <w:rFonts w:ascii="Cambria Math" w:eastAsiaTheme="minorEastAsia" w:hAnsi="Cambria Math"/>
            </w:rPr>
            <m:t>=100×0,9×1,2=108</m:t>
          </m:r>
        </m:oMath>
      </m:oMathPara>
    </w:p>
    <w:p w14:paraId="0764FB56" w14:textId="39ABED40" w:rsidR="003465DA" w:rsidRDefault="009E75FE">
      <w:r>
        <w:t xml:space="preserve">Nel caso il venditore volesse mantenere inalterato il costo per l’acquirente americano dovrebbe applicare uno sconto </w:t>
      </w:r>
      <w:r w:rsidR="003465DA">
        <w:t>così calcolato</w:t>
      </w:r>
    </w:p>
    <w:p w14:paraId="480AD4C7" w14:textId="05D15EBC" w:rsidR="003465DA" w:rsidRPr="00753396" w:rsidRDefault="003465DA" w:rsidP="003465DA">
      <w:pPr>
        <w:jc w:val="both"/>
      </w:pPr>
      <m:oMathPara>
        <m:oMath>
          <m:r>
            <w:rPr>
              <w:rFonts w:ascii="Cambria Math" w:hAnsi="Cambria Math"/>
            </w:rPr>
            <w:lastRenderedPageBreak/>
            <m:t>s=</m:t>
          </m:r>
          <m:f>
            <m:fPr>
              <m:ctrlPr>
                <w:rPr>
                  <w:rFonts w:ascii="Cambria Math" w:hAnsi="Cambria Math"/>
                  <w:i/>
                </w:rPr>
              </m:ctrlPr>
            </m:fPr>
            <m:num>
              <m:r>
                <w:rPr>
                  <w:rFonts w:ascii="Cambria Math" w:hAnsi="Cambria Math"/>
                </w:rPr>
                <m:t>d</m:t>
              </m:r>
            </m:num>
            <m:den>
              <m:r>
                <w:rPr>
                  <w:rFonts w:ascii="Cambria Math" w:hAnsi="Cambria Math"/>
                </w:rPr>
                <m:t>1+d</m:t>
              </m:r>
            </m:den>
          </m:f>
        </m:oMath>
      </m:oMathPara>
    </w:p>
    <w:p w14:paraId="3DCD9FB8" w14:textId="77777777" w:rsidR="00800CB1" w:rsidRDefault="003465DA">
      <w:r>
        <w:t>Che nel caso di dazio al 20% è pari al 16,67%</w:t>
      </w:r>
    </w:p>
    <w:p w14:paraId="429E5E87" w14:textId="77777777" w:rsidR="00800CB1" w:rsidRDefault="00800CB1">
      <w:r>
        <w:t>Infatti</w:t>
      </w:r>
    </w:p>
    <w:p w14:paraId="509D2706" w14:textId="0A4B2190" w:rsidR="00800CB1" w:rsidRPr="00FD219A" w:rsidRDefault="00002A58" w:rsidP="00800CB1">
      <w:pPr>
        <w:jc w:val="center"/>
        <w:rPr>
          <w:rFonts w:eastAsiaTheme="minorEastAsia"/>
        </w:rPr>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=p</m:t>
          </m:r>
          <m:d>
            <m:dPr>
              <m:ctrlPr>
                <w:rPr>
                  <w:rFonts w:ascii="Cambria Math" w:hAnsi="Cambria Math"/>
                  <w:i/>
                </w:rPr>
              </m:ctrlPr>
            </m:dPr>
            <m:e>
              <m:r>
                <w:rPr>
                  <w:rFonts w:ascii="Cambria Math" w:hAnsi="Cambria Math"/>
                </w:rPr>
                <m:t>1-s</m:t>
              </m:r>
            </m:e>
          </m:d>
          <m:d>
            <m:dPr>
              <m:ctrlPr>
                <w:rPr>
                  <w:rFonts w:ascii="Cambria Math" w:hAnsi="Cambria Math"/>
                  <w:i/>
                </w:rPr>
              </m:ctrlPr>
            </m:dPr>
            <m:e>
              <m:r>
                <w:rPr>
                  <w:rFonts w:ascii="Cambria Math" w:hAnsi="Cambria Math"/>
                </w:rPr>
                <m:t>1+d</m:t>
              </m:r>
            </m:e>
          </m:d>
          <m:r>
            <w:rPr>
              <w:rFonts w:ascii="Cambria Math" w:eastAsiaTheme="minorEastAsia" w:hAnsi="Cambria Math"/>
            </w:rPr>
            <m:t>=100×0,833×1,2=100=p</m:t>
          </m:r>
        </m:oMath>
      </m:oMathPara>
    </w:p>
    <w:p w14:paraId="5CBE7674" w14:textId="553E676F" w:rsidR="000D1AC5" w:rsidRDefault="00D82FB6">
      <w:r>
        <w:t xml:space="preserve">Ma uno sconto del genere </w:t>
      </w:r>
      <w:r w:rsidR="000D1AC5">
        <w:t>rischia, come abbiamo visto, di compromettere l’intera marginalità</w:t>
      </w:r>
      <w:r w:rsidR="00C1308A">
        <w:t xml:space="preserve">; da qui l’utilità </w:t>
      </w:r>
      <w:r w:rsidR="00FA06C2">
        <w:t xml:space="preserve">del tool di </w:t>
      </w:r>
      <w:r w:rsidR="0028653C">
        <w:t>simulazione</w:t>
      </w:r>
      <w:r w:rsidR="00C27C32">
        <w:t>.</w:t>
      </w:r>
    </w:p>
    <w:p w14:paraId="2F37FC8D" w14:textId="77EFABCB" w:rsidR="00C27C32" w:rsidRDefault="00C246B5">
      <w:r>
        <w:t xml:space="preserve">Partiamo da </w:t>
      </w:r>
      <w:r w:rsidR="00A33776">
        <w:t>questa rappresentazione grafica.</w:t>
      </w:r>
    </w:p>
    <w:p w14:paraId="719815F7" w14:textId="77777777" w:rsidR="00B53FE7" w:rsidRDefault="00A33776" w:rsidP="00B53FE7">
      <w:pPr>
        <w:keepNext/>
      </w:pPr>
      <w:r>
        <w:rPr>
          <w:noProof/>
        </w:rPr>
        <w:drawing>
          <wp:inline distT="0" distB="0" distL="0" distR="0" wp14:anchorId="020E959D" wp14:editId="6A03E247">
            <wp:extent cx="4881301" cy="3248603"/>
            <wp:effectExtent l="0" t="0" r="0" b="9525"/>
            <wp:docPr id="1085034913"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87311" cy="3252603"/>
                    </a:xfrm>
                    <a:prstGeom prst="rect">
                      <a:avLst/>
                    </a:prstGeom>
                    <a:noFill/>
                  </pic:spPr>
                </pic:pic>
              </a:graphicData>
            </a:graphic>
          </wp:inline>
        </w:drawing>
      </w:r>
    </w:p>
    <w:p w14:paraId="1976E9CB" w14:textId="62242DBC" w:rsidR="00A33776" w:rsidRDefault="00B53FE7" w:rsidP="00B53FE7">
      <w:pPr>
        <w:pStyle w:val="Didascalia"/>
      </w:pPr>
      <w:r>
        <w:t xml:space="preserve">Figura </w:t>
      </w:r>
      <w:fldSimple w:instr=" SEQ Figura \* ARABIC ">
        <w:r w:rsidR="00245A50">
          <w:rPr>
            <w:noProof/>
          </w:rPr>
          <w:t>4</w:t>
        </w:r>
      </w:fldSimple>
      <w:r>
        <w:t>: Lo sconto cambia l'inclinazione della linea dei ricavi</w:t>
      </w:r>
    </w:p>
    <w:p w14:paraId="46C78AEB" w14:textId="77777777" w:rsidR="000574E9" w:rsidRDefault="003465DA">
      <w:r>
        <w:t xml:space="preserve"> </w:t>
      </w:r>
      <w:r w:rsidR="00A33776">
        <w:t>C</w:t>
      </w:r>
      <w:r w:rsidR="00B53FE7">
        <w:t>om</w:t>
      </w:r>
      <w:r w:rsidR="00BD6839">
        <w:t xml:space="preserve">e si nota la riduzione di prezzo del 16,67% </w:t>
      </w:r>
      <w:r w:rsidR="00012F1B">
        <w:t>porta ad uno spostamento del punto di pa</w:t>
      </w:r>
      <w:r w:rsidR="000574E9">
        <w:t>reggio verso destra.</w:t>
      </w:r>
    </w:p>
    <w:p w14:paraId="34051CE9" w14:textId="77777777" w:rsidR="00DD1725" w:rsidRDefault="000574E9">
      <w:r>
        <w:t xml:space="preserve">La figura seguente spiega meglio </w:t>
      </w:r>
      <w:r w:rsidR="00DD1725">
        <w:t>quali interventi potrebbero essere necessari in caso di sconto</w:t>
      </w:r>
    </w:p>
    <w:p w14:paraId="523B009E" w14:textId="33E7FBBD" w:rsidR="00407F20" w:rsidRDefault="000574E9" w:rsidP="00407F20">
      <w:pPr>
        <w:keepNext/>
      </w:pPr>
      <w:r>
        <w:t xml:space="preserve"> </w:t>
      </w:r>
      <w:r w:rsidR="005628F9" w:rsidRPr="005628F9">
        <w:rPr>
          <w:noProof/>
        </w:rPr>
        <w:drawing>
          <wp:inline distT="0" distB="0" distL="0" distR="0" wp14:anchorId="47D275F0" wp14:editId="72E13258">
            <wp:extent cx="4466840" cy="1753737"/>
            <wp:effectExtent l="0" t="0" r="0" b="0"/>
            <wp:docPr id="1839941714"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9001" cy="1762437"/>
                    </a:xfrm>
                    <a:prstGeom prst="rect">
                      <a:avLst/>
                    </a:prstGeom>
                    <a:noFill/>
                    <a:ln>
                      <a:noFill/>
                    </a:ln>
                  </pic:spPr>
                </pic:pic>
              </a:graphicData>
            </a:graphic>
          </wp:inline>
        </w:drawing>
      </w:r>
    </w:p>
    <w:p w14:paraId="3C938058" w14:textId="25346A75" w:rsidR="00407F20" w:rsidRDefault="00407F20" w:rsidP="00407F20">
      <w:pPr>
        <w:pStyle w:val="Didascalia"/>
      </w:pPr>
      <w:r>
        <w:t xml:space="preserve">Figura </w:t>
      </w:r>
      <w:fldSimple w:instr=" SEQ Figura \* ARABIC ">
        <w:r w:rsidR="00245A50">
          <w:rPr>
            <w:noProof/>
          </w:rPr>
          <w:t>5</w:t>
        </w:r>
      </w:fldSimple>
      <w:r>
        <w:t>: Le manovre per il recupero del margine</w:t>
      </w:r>
    </w:p>
    <w:p w14:paraId="7760C332" w14:textId="77777777" w:rsidR="00E033FF" w:rsidRDefault="009B0AF4" w:rsidP="0027381F">
      <w:pPr>
        <w:jc w:val="both"/>
      </w:pPr>
      <w:r>
        <w:lastRenderedPageBreak/>
        <w:t xml:space="preserve">Come si nota lo sconto ha portato una diminuzione del risultato calcolato del </w:t>
      </w:r>
      <w:r w:rsidR="00BA3DCB">
        <w:t>66,67% inferiore all’obiettivo</w:t>
      </w:r>
      <w:r w:rsidR="008628A7">
        <w:t xml:space="preserve">, </w:t>
      </w:r>
      <w:r w:rsidR="00BA3DCB">
        <w:t>pari ai 250.000,00 iniziali</w:t>
      </w:r>
      <w:r w:rsidR="008628A7">
        <w:t xml:space="preserve">. Le frecce riportano </w:t>
      </w:r>
      <w:r w:rsidR="0027381F">
        <w:t xml:space="preserve">le manovre </w:t>
      </w:r>
      <w:r w:rsidR="00DE4E75">
        <w:t xml:space="preserve">che da sole sarebbero sufficienti </w:t>
      </w:r>
      <w:r w:rsidR="0027381F">
        <w:t xml:space="preserve">per il recupero del margine: </w:t>
      </w:r>
      <w:r w:rsidR="00DE4E75">
        <w:t xml:space="preserve">un aumento della quantità del 125% </w:t>
      </w:r>
      <w:r w:rsidR="00A734EA">
        <w:t xml:space="preserve">o </w:t>
      </w:r>
      <w:r w:rsidR="00E033FF">
        <w:t>una riduzione del 23,81% dei costi variabili.</w:t>
      </w:r>
    </w:p>
    <w:p w14:paraId="77540F31" w14:textId="77777777" w:rsidR="00076717" w:rsidRDefault="00E033FF" w:rsidP="00E033FF">
      <w:pPr>
        <w:jc w:val="both"/>
      </w:pPr>
      <w:r>
        <w:t xml:space="preserve">Alcune delle manovre sono oggettivamente non perseguibili. </w:t>
      </w:r>
      <w:r w:rsidR="00076717">
        <w:t xml:space="preserve">Raddoppiare </w:t>
      </w:r>
      <w:r>
        <w:t xml:space="preserve">le vendite </w:t>
      </w:r>
      <w:r w:rsidR="00076717">
        <w:t xml:space="preserve">sarebbe </w:t>
      </w:r>
      <w:r>
        <w:t>pressoché impossibile</w:t>
      </w:r>
      <w:r w:rsidR="00076717">
        <w:t>.</w:t>
      </w:r>
      <w:r>
        <w:t xml:space="preserve"> </w:t>
      </w:r>
    </w:p>
    <w:p w14:paraId="2274968E" w14:textId="77777777" w:rsidR="00B3785B" w:rsidRDefault="00AD0101" w:rsidP="00B3785B">
      <w:pPr>
        <w:jc w:val="both"/>
      </w:pPr>
      <w:r w:rsidRPr="00AD0101">
        <w:t xml:space="preserve">È curioso notare che, se per assurdo le imprese esportatrici scegliessero la brillante strategia di aumentare le quantità vendute per compensare la perdita di margine causata dalla riduzione dei prezzi per assorbire i dazi, si troverebbero di fronte a un magnifico effetto boomerang. Infatti, incrementare le esportazioni significherebbe ampliare ulteriormente quel deficit della bilancia commerciale che, con un semplicismo davvero ammirevole, è stato indicato come motivo principale per introdurre i dazi stessi. </w:t>
      </w:r>
    </w:p>
    <w:p w14:paraId="3BCAFA58" w14:textId="74F2D224" w:rsidR="00B3785B" w:rsidRDefault="00AD0101" w:rsidP="00E033FF">
      <w:r w:rsidRPr="00AD0101">
        <w:t>La soluzione per recuperare i maggiori costi derivanti dai dazi, quindi, può essere soltanto un equilibrato cocktail di interventi su tutti i fattori coinvolti</w:t>
      </w:r>
    </w:p>
    <w:p w14:paraId="6A96B679" w14:textId="1D1EA5CA" w:rsidR="00E033FF" w:rsidRDefault="00E033FF" w:rsidP="00E033FF">
      <w:r w:rsidRPr="005063E4">
        <w:t>Il tool assiste l'utente nel processo di analisi delle variazioni di una variabile, considerando le altre variabili coinvolte e le modifiche già apportate.</w:t>
      </w:r>
    </w:p>
    <w:p w14:paraId="509D5389" w14:textId="77777777" w:rsidR="00E033FF" w:rsidRDefault="00E033FF" w:rsidP="00E033FF">
      <w:pPr>
        <w:jc w:val="both"/>
      </w:pPr>
      <w:r>
        <w:t>Ipotizziamo che il massimo dell’incremento delle quantità vendute sia il 10%, le soluzioni sulle altre variabili diventano:</w:t>
      </w:r>
    </w:p>
    <w:p w14:paraId="4D7590B3" w14:textId="77777777" w:rsidR="007C06EF" w:rsidRDefault="007C06EF" w:rsidP="007C06EF">
      <w:pPr>
        <w:keepNext/>
        <w:jc w:val="both"/>
      </w:pPr>
      <w:r>
        <w:rPr>
          <w:noProof/>
        </w:rPr>
        <w:drawing>
          <wp:inline distT="0" distB="0" distL="0" distR="0" wp14:anchorId="5F12D600" wp14:editId="28A1E3C4">
            <wp:extent cx="6120130" cy="2168525"/>
            <wp:effectExtent l="0" t="0" r="0" b="3175"/>
            <wp:docPr id="1061400711"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00711" name="Immagine 1" descr="Immagine che contiene testo, schermata, Carattere, numero&#10;&#10;Il contenuto generato dall'IA potrebbe non essere corretto."/>
                    <pic:cNvPicPr/>
                  </pic:nvPicPr>
                  <pic:blipFill>
                    <a:blip r:embed="rId12"/>
                    <a:stretch>
                      <a:fillRect/>
                    </a:stretch>
                  </pic:blipFill>
                  <pic:spPr>
                    <a:xfrm>
                      <a:off x="0" y="0"/>
                      <a:ext cx="6120130" cy="2168525"/>
                    </a:xfrm>
                    <a:prstGeom prst="rect">
                      <a:avLst/>
                    </a:prstGeom>
                  </pic:spPr>
                </pic:pic>
              </a:graphicData>
            </a:graphic>
          </wp:inline>
        </w:drawing>
      </w:r>
    </w:p>
    <w:p w14:paraId="323D148B" w14:textId="179F4C0D" w:rsidR="007C06EF" w:rsidRDefault="007C06EF" w:rsidP="007C06EF">
      <w:pPr>
        <w:pStyle w:val="Didascalia"/>
        <w:jc w:val="both"/>
      </w:pPr>
      <w:r>
        <w:t xml:space="preserve">Figura </w:t>
      </w:r>
      <w:fldSimple w:instr=" SEQ Figura \* ARABIC ">
        <w:r w:rsidR="00245A50">
          <w:rPr>
            <w:noProof/>
          </w:rPr>
          <w:t>6</w:t>
        </w:r>
      </w:fldSimple>
      <w:r>
        <w:t>: Le manovre in caso di aumento del 10% delle quantità</w:t>
      </w:r>
    </w:p>
    <w:p w14:paraId="22F776E3" w14:textId="2180E695" w:rsidR="007C06EF" w:rsidRDefault="00D474F9" w:rsidP="00422662">
      <w:pPr>
        <w:jc w:val="both"/>
      </w:pPr>
      <w:r>
        <w:t>S</w:t>
      </w:r>
      <w:r w:rsidR="00EF2EA4">
        <w:t xml:space="preserve">upponiamo </w:t>
      </w:r>
      <w:r w:rsidR="00422662">
        <w:t xml:space="preserve">che si riesca a ottenere una </w:t>
      </w:r>
      <w:r>
        <w:t xml:space="preserve">riduzione dei costi variabili del </w:t>
      </w:r>
      <w:r w:rsidR="00D512DC">
        <w:t>18% agendo ad esempio su materiali, provvigioni e trasporti il quadro diventa</w:t>
      </w:r>
    </w:p>
    <w:p w14:paraId="554CFA56" w14:textId="77777777" w:rsidR="007B0314" w:rsidRDefault="007B0314" w:rsidP="007B0314">
      <w:pPr>
        <w:keepNext/>
        <w:jc w:val="both"/>
      </w:pPr>
      <w:r w:rsidRPr="007B0314">
        <w:rPr>
          <w:noProof/>
        </w:rPr>
        <w:lastRenderedPageBreak/>
        <w:drawing>
          <wp:inline distT="0" distB="0" distL="0" distR="0" wp14:anchorId="2BEC95EC" wp14:editId="793AC97F">
            <wp:extent cx="6120130" cy="1955165"/>
            <wp:effectExtent l="0" t="0" r="0" b="6985"/>
            <wp:docPr id="110707407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1955165"/>
                    </a:xfrm>
                    <a:prstGeom prst="rect">
                      <a:avLst/>
                    </a:prstGeom>
                    <a:noFill/>
                    <a:ln>
                      <a:noFill/>
                    </a:ln>
                  </pic:spPr>
                </pic:pic>
              </a:graphicData>
            </a:graphic>
          </wp:inline>
        </w:drawing>
      </w:r>
    </w:p>
    <w:p w14:paraId="3E51514E" w14:textId="70DDE44A" w:rsidR="00D512DC" w:rsidRDefault="007B0314" w:rsidP="007B0314">
      <w:pPr>
        <w:pStyle w:val="Didascalia"/>
        <w:jc w:val="both"/>
      </w:pPr>
      <w:r>
        <w:t xml:space="preserve">Figura </w:t>
      </w:r>
      <w:fldSimple w:instr=" SEQ Figura \* ARABIC ">
        <w:r w:rsidR="00245A50">
          <w:rPr>
            <w:noProof/>
          </w:rPr>
          <w:t>7</w:t>
        </w:r>
      </w:fldSimple>
      <w:r>
        <w:t>: La situazione a seguito della riduzione dei costi variabili</w:t>
      </w:r>
    </w:p>
    <w:p w14:paraId="0AA26E2C" w14:textId="598BFD1C" w:rsidR="009C570F" w:rsidRDefault="007B0314" w:rsidP="000F0484">
      <w:pPr>
        <w:jc w:val="both"/>
      </w:pPr>
      <w:r>
        <w:t>Ora la riduzione d</w:t>
      </w:r>
      <w:r w:rsidR="002B3DCD">
        <w:t>ei costi fissi del 29,5% appare una scelta obbligata se si vuole il raggiungimento dell’obiettivo.</w:t>
      </w:r>
      <w:r w:rsidR="00F15B0F">
        <w:t xml:space="preserve"> </w:t>
      </w:r>
      <w:proofErr w:type="gramStart"/>
      <w:r w:rsidR="00F15B0F">
        <w:t>Tuttavia</w:t>
      </w:r>
      <w:proofErr w:type="gramEnd"/>
      <w:r w:rsidR="00F15B0F">
        <w:t xml:space="preserve"> tale taglio potrebbe essere eccessivo o non perseguibile</w:t>
      </w:r>
      <w:r w:rsidR="000F0484">
        <w:t>; se ipotizziamo una riduzione dei costi fissi del 10%,</w:t>
      </w:r>
      <w:r w:rsidR="00F15B0F">
        <w:t xml:space="preserve"> possiamo riconsiderare</w:t>
      </w:r>
      <w:r w:rsidR="005D730E">
        <w:t>,</w:t>
      </w:r>
      <w:r w:rsidR="00F15B0F">
        <w:t xml:space="preserve"> cancellando il valore </w:t>
      </w:r>
      <w:r w:rsidR="005D730E">
        <w:t xml:space="preserve">precedentemente </w:t>
      </w:r>
      <w:r w:rsidR="00F15B0F">
        <w:t>inserito</w:t>
      </w:r>
      <w:r w:rsidR="005D730E">
        <w:t>,</w:t>
      </w:r>
      <w:r w:rsidR="00F15B0F">
        <w:t xml:space="preserve"> le </w:t>
      </w:r>
      <w:r w:rsidR="008A1A46">
        <w:t xml:space="preserve">quantità </w:t>
      </w:r>
      <w:r w:rsidR="005D730E">
        <w:t>di pareggio</w:t>
      </w:r>
      <w:r w:rsidR="00094C65">
        <w:t>.</w:t>
      </w:r>
    </w:p>
    <w:p w14:paraId="302D367A" w14:textId="4E1E3FCA" w:rsidR="005C3977" w:rsidRDefault="00AD4596" w:rsidP="005C3977">
      <w:pPr>
        <w:keepNext/>
        <w:jc w:val="both"/>
      </w:pPr>
      <w:r w:rsidRPr="00852E34">
        <w:drawing>
          <wp:inline distT="0" distB="0" distL="0" distR="0" wp14:anchorId="79820EBB" wp14:editId="0E19D56E">
            <wp:extent cx="6120130" cy="2148840"/>
            <wp:effectExtent l="0" t="0" r="0" b="3810"/>
            <wp:docPr id="406905364"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05364" name="Immagine 1" descr="Immagine che contiene testo, schermata, Carattere, linea&#10;&#10;Il contenuto generato dall'IA potrebbe non essere corretto."/>
                    <pic:cNvPicPr/>
                  </pic:nvPicPr>
                  <pic:blipFill>
                    <a:blip r:embed="rId14"/>
                    <a:stretch>
                      <a:fillRect/>
                    </a:stretch>
                  </pic:blipFill>
                  <pic:spPr>
                    <a:xfrm>
                      <a:off x="0" y="0"/>
                      <a:ext cx="6120130" cy="2148840"/>
                    </a:xfrm>
                    <a:prstGeom prst="rect">
                      <a:avLst/>
                    </a:prstGeom>
                  </pic:spPr>
                </pic:pic>
              </a:graphicData>
            </a:graphic>
          </wp:inline>
        </w:drawing>
      </w:r>
    </w:p>
    <w:p w14:paraId="32E0231F" w14:textId="47567325" w:rsidR="005C3977" w:rsidRDefault="005C3977" w:rsidP="007017B4">
      <w:pPr>
        <w:pStyle w:val="Didascalia"/>
        <w:jc w:val="both"/>
      </w:pPr>
      <w:r>
        <w:t xml:space="preserve">Figura </w:t>
      </w:r>
      <w:fldSimple w:instr=" SEQ Figura \* ARABIC ">
        <w:r w:rsidR="00245A50">
          <w:rPr>
            <w:noProof/>
          </w:rPr>
          <w:t>8</w:t>
        </w:r>
      </w:fldSimple>
      <w:r>
        <w:t>: Situazione finale e pieno recupero del margine</w:t>
      </w:r>
    </w:p>
    <w:p w14:paraId="1EA539CB" w14:textId="06C44164" w:rsidR="007017B4" w:rsidRPr="007017B4" w:rsidRDefault="007017B4" w:rsidP="00957B0A">
      <w:pPr>
        <w:jc w:val="both"/>
      </w:pPr>
      <w:r>
        <w:t xml:space="preserve">Nell’ipotesi </w:t>
      </w:r>
      <w:r w:rsidR="00706DC5">
        <w:t xml:space="preserve">che </w:t>
      </w:r>
      <w:r w:rsidR="000302DE">
        <w:t xml:space="preserve">fosse </w:t>
      </w:r>
      <w:r w:rsidR="00337846">
        <w:t xml:space="preserve">possibile ridurre i costi variabili del 18% e </w:t>
      </w:r>
      <w:r w:rsidR="003271CE">
        <w:t>i costi fissi del 10% e il cliente fosse disposto ad aumentare le quantità acquistate del 13,75%</w:t>
      </w:r>
      <w:r w:rsidR="00580DF2">
        <w:t xml:space="preserve"> sarebbe possibile garantire uno sconto per azzerare l’effetto dazi sull’acquirente.</w:t>
      </w:r>
      <w:r w:rsidR="002C21FA">
        <w:t xml:space="preserve"> </w:t>
      </w:r>
    </w:p>
    <w:p w14:paraId="0FB04360" w14:textId="48D071ED" w:rsidR="007B0314" w:rsidRDefault="000302DE" w:rsidP="00F15B0F">
      <w:pPr>
        <w:jc w:val="both"/>
      </w:pPr>
      <w:r>
        <w:t xml:space="preserve">Ovviamente l’esempio è del tutto indicativo e volutamente semplificato ma non è da escludere che i grossi esportatori facciano ragionamenti simili </w:t>
      </w:r>
      <w:r w:rsidR="00F2788A">
        <w:t xml:space="preserve">a quelli esposti per mantenere il mercato statunitense, con buona pace delle intenzioni di riduzione </w:t>
      </w:r>
      <w:r w:rsidR="00934F35">
        <w:t>delle importazioni</w:t>
      </w:r>
      <w:r w:rsidR="00F2788A">
        <w:t>.</w:t>
      </w:r>
    </w:p>
    <w:p w14:paraId="38B2638A" w14:textId="76880122" w:rsidR="00061848" w:rsidRPr="0063159D" w:rsidRDefault="00061848" w:rsidP="00061848">
      <w:pPr>
        <w:rPr>
          <w:b/>
          <w:bCs/>
        </w:rPr>
      </w:pPr>
      <w:r>
        <w:rPr>
          <w:b/>
          <w:bCs/>
        </w:rPr>
        <w:t>La simulazione di un caso aziendale: gli effetti sulle importazioni</w:t>
      </w:r>
    </w:p>
    <w:p w14:paraId="074A4F00" w14:textId="41AE1453" w:rsidR="00934F35" w:rsidRDefault="00934F35" w:rsidP="00F15B0F">
      <w:pPr>
        <w:jc w:val="both"/>
      </w:pPr>
      <w:r>
        <w:t xml:space="preserve">Il tool ha una terza parte che consente anche di </w:t>
      </w:r>
      <w:r w:rsidR="006342C9">
        <w:t>calcolare gli effetti di un incremento dei costi variabili qualora si volesse simulare l</w:t>
      </w:r>
      <w:r w:rsidR="00485379">
        <w:t>’effetto contrario a quello fin qui descritto: l</w:t>
      </w:r>
      <w:r w:rsidR="003B4FDB">
        <w:t>a presenza di un dazio all’importazione.</w:t>
      </w:r>
    </w:p>
    <w:p w14:paraId="1096C56A" w14:textId="20D3838A" w:rsidR="003B4FDB" w:rsidRDefault="003B4FDB" w:rsidP="00F15B0F">
      <w:pPr>
        <w:jc w:val="both"/>
      </w:pPr>
      <w:r>
        <w:t>Poniamo che</w:t>
      </w:r>
      <w:r w:rsidR="00211AC7">
        <w:t>,</w:t>
      </w:r>
      <w:r>
        <w:t xml:space="preserve"> </w:t>
      </w:r>
      <w:r w:rsidR="00211AC7">
        <w:t>in un</w:t>
      </w:r>
      <w:r w:rsidR="00F4712A">
        <w:t xml:space="preserve">o </w:t>
      </w:r>
      <w:r w:rsidR="00211AC7">
        <w:t>scenario di guerra commerciale</w:t>
      </w:r>
      <w:r w:rsidR="00F4712A">
        <w:t xml:space="preserve"> che ci auguriamo rappresenti un’ipotesi remota</w:t>
      </w:r>
      <w:r w:rsidR="00211AC7">
        <w:t xml:space="preserve">, </w:t>
      </w:r>
      <w:r>
        <w:t>quale reazione ai dazi</w:t>
      </w:r>
      <w:r w:rsidR="00211AC7">
        <w:t xml:space="preserve"> in uscita,</w:t>
      </w:r>
      <w:r>
        <w:t xml:space="preserve"> si stabilisca un dazio in entrata del </w:t>
      </w:r>
      <w:r w:rsidR="00211AC7">
        <w:t>2</w:t>
      </w:r>
      <w:r>
        <w:t>0%</w:t>
      </w:r>
      <w:r w:rsidR="00211AC7">
        <w:t xml:space="preserve"> sulle importazioni. In quel caso </w:t>
      </w:r>
      <w:r w:rsidR="00A45B28">
        <w:t xml:space="preserve">il tool consente di calcolare l’aumento di prezzo per compensare. Si </w:t>
      </w:r>
      <w:r w:rsidR="00A45B28">
        <w:lastRenderedPageBreak/>
        <w:t xml:space="preserve">noti che la compensazione può avere due </w:t>
      </w:r>
      <w:r w:rsidR="0071562C">
        <w:t xml:space="preserve">distinti </w:t>
      </w:r>
      <w:r w:rsidR="00A45B28">
        <w:t>obiettivi</w:t>
      </w:r>
      <w:r w:rsidR="0071562C">
        <w:t xml:space="preserve">: il recupero del margine assoluto e quello del </w:t>
      </w:r>
      <w:r w:rsidR="00F4712A">
        <w:t>margine percentuale.</w:t>
      </w:r>
    </w:p>
    <w:p w14:paraId="288038B9" w14:textId="7CDDFA01" w:rsidR="00934F35" w:rsidRDefault="00E621F1" w:rsidP="00F15B0F">
      <w:pPr>
        <w:jc w:val="both"/>
      </w:pPr>
      <w:r>
        <w:t>L’incremento di un costo variabile “</w:t>
      </w:r>
      <w:proofErr w:type="gramStart"/>
      <w:r>
        <w:t>i”  può</w:t>
      </w:r>
      <w:proofErr w:type="gramEnd"/>
      <w:r>
        <w:t xml:space="preserve"> essere compensato mediante un aumento di prezzo pari a </w:t>
      </w:r>
    </w:p>
    <w:p w14:paraId="5A90A071" w14:textId="69CF5A85" w:rsidR="001329AD" w:rsidRPr="00753396" w:rsidRDefault="001329AD" w:rsidP="001329AD">
      <w:pPr>
        <w:jc w:val="both"/>
      </w:pPr>
      <m:oMathPara>
        <m:oMath>
          <m:r>
            <w:rPr>
              <w:rFonts w:ascii="Cambria Math" w:hAnsi="Cambria Math"/>
            </w:rPr>
            <m:t>∆Prezzo=-</m:t>
          </m:r>
          <m:f>
            <m:fPr>
              <m:ctrlPr>
                <w:rPr>
                  <w:rFonts w:ascii="Cambria Math" w:hAnsi="Cambria Math"/>
                  <w:i/>
                </w:rPr>
              </m:ctrlPr>
            </m:fPr>
            <m:num>
              <m:r>
                <w:rPr>
                  <w:rFonts w:ascii="Cambria Math" w:hAnsi="Cambria Math"/>
                </w:rPr>
                <m:t>∆Costo</m:t>
              </m:r>
            </m:num>
            <m:den>
              <m:r>
                <w:rPr>
                  <w:rFonts w:ascii="Cambria Math" w:hAnsi="Cambria Math"/>
                </w:rPr>
                <m:t>Fatturato</m:t>
              </m:r>
            </m:den>
          </m:f>
        </m:oMath>
      </m:oMathPara>
    </w:p>
    <w:p w14:paraId="514F481E" w14:textId="29472625" w:rsidR="00DC2075" w:rsidRDefault="004B7E30" w:rsidP="00F15B0F">
      <w:pPr>
        <w:jc w:val="both"/>
      </w:pPr>
      <w:r>
        <w:t xml:space="preserve">Da cui si ottiene </w:t>
      </w:r>
    </w:p>
    <w:p w14:paraId="59CDD37E" w14:textId="5919C90B" w:rsidR="004B7E30" w:rsidRPr="00753396" w:rsidRDefault="004B7E30" w:rsidP="004B7E30">
      <w:pPr>
        <w:jc w:val="both"/>
      </w:pPr>
      <m:oMathPara>
        <m:oMath>
          <m:r>
            <w:rPr>
              <w:rFonts w:ascii="Cambria Math" w:hAnsi="Cambria Math"/>
            </w:rPr>
            <m:t>∆Prezzo=-</m:t>
          </m:r>
          <m:f>
            <m:fPr>
              <m:ctrlPr>
                <w:rPr>
                  <w:rFonts w:ascii="Cambria Math" w:hAnsi="Cambria Math"/>
                  <w:i/>
                </w:rPr>
              </m:ctrlPr>
            </m:fPr>
            <m:num>
              <m:r>
                <w:rPr>
                  <w:rFonts w:ascii="Cambria Math" w:hAnsi="Cambria Math"/>
                </w:rPr>
                <m:t>20%*1mln</m:t>
              </m:r>
            </m:num>
            <m:den>
              <m:r>
                <w:rPr>
                  <w:rFonts w:ascii="Cambria Math" w:hAnsi="Cambria Math"/>
                </w:rPr>
                <m:t>1mln</m:t>
              </m:r>
            </m:den>
          </m:f>
          <m:r>
            <w:rPr>
              <w:rFonts w:ascii="Cambria Math" w:hAnsi="Cambria Math"/>
            </w:rPr>
            <m:t>=20%</m:t>
          </m:r>
        </m:oMath>
      </m:oMathPara>
    </w:p>
    <w:p w14:paraId="2978FD91" w14:textId="77777777" w:rsidR="00EC0719" w:rsidRDefault="00EC0719" w:rsidP="00EC0719">
      <w:pPr>
        <w:keepNext/>
        <w:jc w:val="both"/>
      </w:pPr>
      <w:r>
        <w:rPr>
          <w:noProof/>
        </w:rPr>
        <w:drawing>
          <wp:inline distT="0" distB="0" distL="0" distR="0" wp14:anchorId="19C2A6D2" wp14:editId="7CB37C94">
            <wp:extent cx="6120130" cy="2072640"/>
            <wp:effectExtent l="0" t="0" r="0" b="3810"/>
            <wp:docPr id="28586148"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6148" name="Immagine 1" descr="Immagine che contiene testo, schermata, Carattere, numero&#10;&#10;Il contenuto generato dall'IA potrebbe non essere corretto."/>
                    <pic:cNvPicPr/>
                  </pic:nvPicPr>
                  <pic:blipFill>
                    <a:blip r:embed="rId15"/>
                    <a:stretch>
                      <a:fillRect/>
                    </a:stretch>
                  </pic:blipFill>
                  <pic:spPr>
                    <a:xfrm>
                      <a:off x="0" y="0"/>
                      <a:ext cx="6120130" cy="2072640"/>
                    </a:xfrm>
                    <a:prstGeom prst="rect">
                      <a:avLst/>
                    </a:prstGeom>
                  </pic:spPr>
                </pic:pic>
              </a:graphicData>
            </a:graphic>
          </wp:inline>
        </w:drawing>
      </w:r>
    </w:p>
    <w:p w14:paraId="427F9634" w14:textId="102F3AFB" w:rsidR="00F2788A" w:rsidRDefault="00EC0719" w:rsidP="00EC0719">
      <w:pPr>
        <w:pStyle w:val="Didascalia"/>
        <w:jc w:val="both"/>
      </w:pPr>
      <w:r>
        <w:t xml:space="preserve">Figura </w:t>
      </w:r>
      <w:fldSimple w:instr=" SEQ Figura \* ARABIC ">
        <w:r w:rsidR="00245A50">
          <w:rPr>
            <w:noProof/>
          </w:rPr>
          <w:t>9</w:t>
        </w:r>
      </w:fldSimple>
      <w:r>
        <w:t>: L'aumento di prezzo per mantenere il margine a fronte di un dazio in entrata del 20%</w:t>
      </w:r>
    </w:p>
    <w:p w14:paraId="3977BBF2" w14:textId="77777777" w:rsidR="004A6F07" w:rsidRDefault="00EC0719" w:rsidP="004A6F07">
      <w:pPr>
        <w:jc w:val="both"/>
      </w:pPr>
      <w:r>
        <w:t>Come si vede</w:t>
      </w:r>
      <w:r w:rsidR="004A6F07">
        <w:t>,</w:t>
      </w:r>
      <w:r>
        <w:t xml:space="preserve"> non</w:t>
      </w:r>
      <w:r w:rsidR="00E80269">
        <w:t>ostante il margine resti invariato per effetto dell’incremento di prezzo</w:t>
      </w:r>
      <w:r w:rsidR="004A6F07">
        <w:t>, la marginalità scende dal 25% al 20,83% per effetto del maggior fatturato.</w:t>
      </w:r>
    </w:p>
    <w:p w14:paraId="675A61D9" w14:textId="77777777" w:rsidR="00793B6A" w:rsidRDefault="004A6F07" w:rsidP="00793B6A">
      <w:pPr>
        <w:jc w:val="both"/>
      </w:pPr>
      <w:r>
        <w:t xml:space="preserve">Laddove si volesse puntare al mantenimento della marginalità, si </w:t>
      </w:r>
      <w:r w:rsidR="006832C9">
        <w:t xml:space="preserve">dovrebbe optare per un aumento di prezzo </w:t>
      </w:r>
      <w:r w:rsidR="00793B6A">
        <w:t xml:space="preserve">pari a </w:t>
      </w:r>
    </w:p>
    <w:p w14:paraId="1168B3A7" w14:textId="24C9C288" w:rsidR="00793B6A" w:rsidRPr="00753396" w:rsidRDefault="00793B6A" w:rsidP="00793B6A">
      <w:pPr>
        <w:jc w:val="both"/>
      </w:pPr>
      <m:oMathPara>
        <m:oMath>
          <m:r>
            <w:rPr>
              <w:rFonts w:ascii="Cambria Math" w:hAnsi="Cambria Math"/>
            </w:rPr>
            <m:t>∆Prezzo=-</m:t>
          </m:r>
          <m:f>
            <m:fPr>
              <m:ctrlPr>
                <w:rPr>
                  <w:rFonts w:ascii="Cambria Math" w:hAnsi="Cambria Math"/>
                  <w:i/>
                </w:rPr>
              </m:ctrlPr>
            </m:fPr>
            <m:num>
              <m:r>
                <w:rPr>
                  <w:rFonts w:ascii="Cambria Math" w:hAnsi="Cambria Math"/>
                </w:rPr>
                <m:t xml:space="preserve">∆Costo </m:t>
              </m:r>
            </m:num>
            <m:den>
              <m:r>
                <w:rPr>
                  <w:rFonts w:ascii="Cambria Math" w:hAnsi="Cambria Math"/>
                </w:rPr>
                <m:t>Costi Variabili ante aumento</m:t>
              </m:r>
            </m:den>
          </m:f>
        </m:oMath>
      </m:oMathPara>
    </w:p>
    <w:p w14:paraId="78C0BDC5" w14:textId="77777777" w:rsidR="00793B6A" w:rsidRDefault="00793B6A" w:rsidP="00793B6A">
      <w:pPr>
        <w:jc w:val="both"/>
      </w:pPr>
      <w:r>
        <w:t xml:space="preserve">Da cui si ottiene </w:t>
      </w:r>
    </w:p>
    <w:p w14:paraId="153D1FF0" w14:textId="2D3C1258" w:rsidR="00793B6A" w:rsidRPr="00753396" w:rsidRDefault="00793B6A" w:rsidP="00793B6A">
      <w:pPr>
        <w:jc w:val="both"/>
      </w:pPr>
      <m:oMathPara>
        <m:oMath>
          <m:r>
            <w:rPr>
              <w:rFonts w:ascii="Cambria Math" w:hAnsi="Cambria Math"/>
            </w:rPr>
            <m:t>∆Prezzo=-</m:t>
          </m:r>
          <m:f>
            <m:fPr>
              <m:ctrlPr>
                <w:rPr>
                  <w:rFonts w:ascii="Cambria Math" w:hAnsi="Cambria Math"/>
                  <w:i/>
                </w:rPr>
              </m:ctrlPr>
            </m:fPr>
            <m:num>
              <m:r>
                <w:rPr>
                  <w:rFonts w:ascii="Cambria Math" w:hAnsi="Cambria Math"/>
                </w:rPr>
                <m:t>28,57%*700.000</m:t>
              </m:r>
            </m:num>
            <m:den>
              <m:r>
                <w:rPr>
                  <w:rFonts w:ascii="Cambria Math" w:hAnsi="Cambria Math"/>
                </w:rPr>
                <m:t>700.000</m:t>
              </m:r>
            </m:den>
          </m:f>
          <m:r>
            <w:rPr>
              <w:rFonts w:ascii="Cambria Math" w:hAnsi="Cambria Math"/>
            </w:rPr>
            <m:t>=28,57%</m:t>
          </m:r>
        </m:oMath>
      </m:oMathPara>
    </w:p>
    <w:p w14:paraId="0426CF72" w14:textId="2CD1A8B8" w:rsidR="00DB2FBF" w:rsidRDefault="004A1716" w:rsidP="00793B6A">
      <w:r>
        <w:t xml:space="preserve">L’aumento del 28,57% </w:t>
      </w:r>
      <w:r w:rsidR="00CB7EE3">
        <w:t>di prezzo avrebbe quindi questi effetti</w:t>
      </w:r>
    </w:p>
    <w:p w14:paraId="58C2DD65" w14:textId="77777777" w:rsidR="00245A50" w:rsidRDefault="00CB7EE3" w:rsidP="00245A50">
      <w:pPr>
        <w:keepNext/>
      </w:pPr>
      <w:r>
        <w:rPr>
          <w:noProof/>
        </w:rPr>
        <w:drawing>
          <wp:inline distT="0" distB="0" distL="0" distR="0" wp14:anchorId="7CDEBEE4" wp14:editId="710E2437">
            <wp:extent cx="4496938" cy="1330080"/>
            <wp:effectExtent l="0" t="0" r="0" b="3810"/>
            <wp:docPr id="1132818991"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18991" name="Immagine 1" descr="Immagine che contiene testo, schermata, Carattere&#10;&#10;Il contenuto generato dall'IA potrebbe non essere corretto."/>
                    <pic:cNvPicPr/>
                  </pic:nvPicPr>
                  <pic:blipFill>
                    <a:blip r:embed="rId16"/>
                    <a:stretch>
                      <a:fillRect/>
                    </a:stretch>
                  </pic:blipFill>
                  <pic:spPr>
                    <a:xfrm>
                      <a:off x="0" y="0"/>
                      <a:ext cx="4514435" cy="1335255"/>
                    </a:xfrm>
                    <a:prstGeom prst="rect">
                      <a:avLst/>
                    </a:prstGeom>
                  </pic:spPr>
                </pic:pic>
              </a:graphicData>
            </a:graphic>
          </wp:inline>
        </w:drawing>
      </w:r>
    </w:p>
    <w:p w14:paraId="478C5163" w14:textId="263691A4" w:rsidR="00CB7EE3" w:rsidRDefault="00245A50" w:rsidP="00245A50">
      <w:pPr>
        <w:pStyle w:val="Didascalia"/>
      </w:pPr>
      <w:r>
        <w:t xml:space="preserve">Figura </w:t>
      </w:r>
      <w:fldSimple w:instr=" SEQ Figura \* ARABIC ">
        <w:r>
          <w:rPr>
            <w:noProof/>
          </w:rPr>
          <w:t>10</w:t>
        </w:r>
      </w:fldSimple>
      <w:r>
        <w:t>: L'aumento di prezzo per mantenere la marginalità invariata a fronte di un dazio in entrata del 20%</w:t>
      </w:r>
    </w:p>
    <w:p w14:paraId="4C5F928C" w14:textId="62957774" w:rsidR="00245A50" w:rsidRDefault="005F3738" w:rsidP="00245A50">
      <w:r>
        <w:lastRenderedPageBreak/>
        <w:t xml:space="preserve">Nel caso il mercato fosse in grado di assorbire l’aumento </w:t>
      </w:r>
      <w:r w:rsidR="00E93507">
        <w:t xml:space="preserve">di prezzo del 28,57% la marginalità dell’azienda </w:t>
      </w:r>
      <w:r w:rsidR="00387191">
        <w:t>rimarrebbe invariata.</w:t>
      </w:r>
    </w:p>
    <w:p w14:paraId="2C571775" w14:textId="77777777" w:rsidR="00E53794" w:rsidRDefault="00A94E62" w:rsidP="0027381F">
      <w:pPr>
        <w:jc w:val="both"/>
      </w:pPr>
      <w:r>
        <w:t xml:space="preserve">Il filo rosso che unisce tutti gli esempi trattati è l’effetto dei </w:t>
      </w:r>
      <w:r w:rsidR="00623603">
        <w:t>dazi sul</w:t>
      </w:r>
      <w:r w:rsidR="00E73679">
        <w:t>la variazione</w:t>
      </w:r>
      <w:r w:rsidR="00623603">
        <w:t xml:space="preserve"> </w:t>
      </w:r>
      <w:r w:rsidR="00FB009F" w:rsidRPr="00FB009F">
        <w:t xml:space="preserve">potenziale </w:t>
      </w:r>
      <w:r w:rsidR="00623603">
        <w:t xml:space="preserve">aumento di prezzi e di conseguenza </w:t>
      </w:r>
      <w:r w:rsidR="00E53794">
        <w:t>l’emergere del</w:t>
      </w:r>
      <w:r w:rsidR="00FB009F" w:rsidRPr="00FB009F">
        <w:t xml:space="preserve">l'inflazione. </w:t>
      </w:r>
    </w:p>
    <w:p w14:paraId="3E0E4B7E" w14:textId="5F23586B" w:rsidR="002937B0" w:rsidRDefault="00FB009F" w:rsidP="00286BDF">
      <w:pPr>
        <w:jc w:val="both"/>
      </w:pPr>
      <w:r w:rsidRPr="00FB009F">
        <w:t>I dazi, infatti, incrementano i costi di produzione, spinge</w:t>
      </w:r>
      <w:r w:rsidR="00623603">
        <w:t>ranno</w:t>
      </w:r>
      <w:r w:rsidRPr="00FB009F">
        <w:t xml:space="preserve"> le aziende ad alzare i prezzi. Questo aumento dei prezzi può portare a una riduzione del potere d'acquisto dei consumatori e a un incremento generale dei costi</w:t>
      </w:r>
      <w:r w:rsidR="0046052B">
        <w:t>,</w:t>
      </w:r>
      <w:r w:rsidRPr="00FB009F">
        <w:t xml:space="preserve"> </w:t>
      </w:r>
      <w:r w:rsidR="0046052B">
        <w:t>c</w:t>
      </w:r>
      <w:r w:rsidR="00623603">
        <w:t>ontribuendo allo scenario</w:t>
      </w:r>
      <w:r w:rsidR="00B10DB3">
        <w:t xml:space="preserve"> del</w:t>
      </w:r>
      <w:r w:rsidR="00623603">
        <w:t xml:space="preserve">la </w:t>
      </w:r>
      <w:r w:rsidR="00B10DB3">
        <w:t>“</w:t>
      </w:r>
      <w:r w:rsidR="00623603">
        <w:t>tempesta perfetta</w:t>
      </w:r>
      <w:r w:rsidR="00B10DB3">
        <w:t>”</w:t>
      </w:r>
      <w:r w:rsidR="00623603">
        <w:t>.</w:t>
      </w:r>
      <w:r w:rsidR="0046052B">
        <w:t xml:space="preserve"> A meno che non si tratti della nota tecnica negoziale </w:t>
      </w:r>
      <w:r w:rsidR="00924BB1">
        <w:t xml:space="preserve">della “porta in faccia” che consiste nell’avanzare </w:t>
      </w:r>
      <w:r w:rsidR="00EF1A81">
        <w:t>che c</w:t>
      </w:r>
      <w:r w:rsidR="00EF1A81" w:rsidRPr="00EF1A81">
        <w:t>onsiste nel fare inizialmente una richiesta esagerata o eccessiva, per poi avanzare una richiesta più ragionevole (quella che si desiderava realmente ottenere).</w:t>
      </w:r>
      <w:r w:rsidR="00EF1A81">
        <w:t xml:space="preserve"> In pratica un bluff molto pericoloso.</w:t>
      </w:r>
    </w:p>
    <w:p w14:paraId="2BDD5406" w14:textId="77777777" w:rsidR="00002A58" w:rsidRDefault="00002A58" w:rsidP="00286BDF">
      <w:pPr>
        <w:jc w:val="both"/>
      </w:pPr>
    </w:p>
    <w:sectPr w:rsidR="00002A5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8E1"/>
    <w:rsid w:val="00002A58"/>
    <w:rsid w:val="00012F1B"/>
    <w:rsid w:val="000302DE"/>
    <w:rsid w:val="00056F5C"/>
    <w:rsid w:val="000574E9"/>
    <w:rsid w:val="00061848"/>
    <w:rsid w:val="00076717"/>
    <w:rsid w:val="00094C65"/>
    <w:rsid w:val="000A0A7E"/>
    <w:rsid w:val="000B48D6"/>
    <w:rsid w:val="000C2D2B"/>
    <w:rsid w:val="000C3210"/>
    <w:rsid w:val="000C3686"/>
    <w:rsid w:val="000D1AC5"/>
    <w:rsid w:val="000D3D14"/>
    <w:rsid w:val="000D674A"/>
    <w:rsid w:val="000E5442"/>
    <w:rsid w:val="000F0484"/>
    <w:rsid w:val="000F1BD6"/>
    <w:rsid w:val="000F7710"/>
    <w:rsid w:val="00105D5C"/>
    <w:rsid w:val="00110AC4"/>
    <w:rsid w:val="00116262"/>
    <w:rsid w:val="001329AD"/>
    <w:rsid w:val="00146DC7"/>
    <w:rsid w:val="001614C6"/>
    <w:rsid w:val="00162737"/>
    <w:rsid w:val="001663C2"/>
    <w:rsid w:val="001678F1"/>
    <w:rsid w:val="001734F3"/>
    <w:rsid w:val="001A70CC"/>
    <w:rsid w:val="001C2685"/>
    <w:rsid w:val="001D1CE5"/>
    <w:rsid w:val="0020588E"/>
    <w:rsid w:val="002111CC"/>
    <w:rsid w:val="00211AC7"/>
    <w:rsid w:val="00213B75"/>
    <w:rsid w:val="00232BCB"/>
    <w:rsid w:val="00241EF7"/>
    <w:rsid w:val="00245A50"/>
    <w:rsid w:val="00251B69"/>
    <w:rsid w:val="002538C8"/>
    <w:rsid w:val="00257179"/>
    <w:rsid w:val="002667D6"/>
    <w:rsid w:val="0027381F"/>
    <w:rsid w:val="0028653C"/>
    <w:rsid w:val="00286BDF"/>
    <w:rsid w:val="002937B0"/>
    <w:rsid w:val="002A2B5B"/>
    <w:rsid w:val="002B244E"/>
    <w:rsid w:val="002B3DCD"/>
    <w:rsid w:val="002C21FA"/>
    <w:rsid w:val="002C37F4"/>
    <w:rsid w:val="002D4A44"/>
    <w:rsid w:val="002E04FE"/>
    <w:rsid w:val="002F1DA3"/>
    <w:rsid w:val="002F4CCE"/>
    <w:rsid w:val="00302D76"/>
    <w:rsid w:val="003271CE"/>
    <w:rsid w:val="00337846"/>
    <w:rsid w:val="0034086E"/>
    <w:rsid w:val="00345D19"/>
    <w:rsid w:val="003465DA"/>
    <w:rsid w:val="0035212F"/>
    <w:rsid w:val="0038109A"/>
    <w:rsid w:val="00387191"/>
    <w:rsid w:val="003A0375"/>
    <w:rsid w:val="003A4AAA"/>
    <w:rsid w:val="003B4FDB"/>
    <w:rsid w:val="003B617A"/>
    <w:rsid w:val="003C1E4E"/>
    <w:rsid w:val="003C60ED"/>
    <w:rsid w:val="003D0568"/>
    <w:rsid w:val="003D764A"/>
    <w:rsid w:val="00404F29"/>
    <w:rsid w:val="00407F20"/>
    <w:rsid w:val="00422662"/>
    <w:rsid w:val="00431126"/>
    <w:rsid w:val="00436C9A"/>
    <w:rsid w:val="00456966"/>
    <w:rsid w:val="0046052B"/>
    <w:rsid w:val="00460D10"/>
    <w:rsid w:val="00464545"/>
    <w:rsid w:val="00485379"/>
    <w:rsid w:val="00492E0E"/>
    <w:rsid w:val="004A1716"/>
    <w:rsid w:val="004A5CB5"/>
    <w:rsid w:val="004A6F07"/>
    <w:rsid w:val="004B372A"/>
    <w:rsid w:val="004B4CBA"/>
    <w:rsid w:val="004B7E30"/>
    <w:rsid w:val="004C23EB"/>
    <w:rsid w:val="004C3105"/>
    <w:rsid w:val="004C7076"/>
    <w:rsid w:val="004F30E4"/>
    <w:rsid w:val="0050425F"/>
    <w:rsid w:val="005063E4"/>
    <w:rsid w:val="005133FF"/>
    <w:rsid w:val="00515D8E"/>
    <w:rsid w:val="00526816"/>
    <w:rsid w:val="00532D65"/>
    <w:rsid w:val="0053757C"/>
    <w:rsid w:val="00546FA1"/>
    <w:rsid w:val="005600B0"/>
    <w:rsid w:val="005628F9"/>
    <w:rsid w:val="00580DF2"/>
    <w:rsid w:val="00593821"/>
    <w:rsid w:val="005B4F1B"/>
    <w:rsid w:val="005C2677"/>
    <w:rsid w:val="005C3977"/>
    <w:rsid w:val="005D272B"/>
    <w:rsid w:val="005D730E"/>
    <w:rsid w:val="005E3B95"/>
    <w:rsid w:val="005E44E6"/>
    <w:rsid w:val="005F1295"/>
    <w:rsid w:val="005F3738"/>
    <w:rsid w:val="00603597"/>
    <w:rsid w:val="006054F8"/>
    <w:rsid w:val="00617A1A"/>
    <w:rsid w:val="00621BBD"/>
    <w:rsid w:val="00623603"/>
    <w:rsid w:val="0063159D"/>
    <w:rsid w:val="006342C9"/>
    <w:rsid w:val="006579B8"/>
    <w:rsid w:val="006832C9"/>
    <w:rsid w:val="006925BF"/>
    <w:rsid w:val="00694B2E"/>
    <w:rsid w:val="006C211E"/>
    <w:rsid w:val="006C35B0"/>
    <w:rsid w:val="006E0142"/>
    <w:rsid w:val="007017B4"/>
    <w:rsid w:val="00706DC5"/>
    <w:rsid w:val="0071562C"/>
    <w:rsid w:val="007168F0"/>
    <w:rsid w:val="00717A89"/>
    <w:rsid w:val="007268E1"/>
    <w:rsid w:val="0074506D"/>
    <w:rsid w:val="00753396"/>
    <w:rsid w:val="007566DE"/>
    <w:rsid w:val="00771CEA"/>
    <w:rsid w:val="007910B5"/>
    <w:rsid w:val="00793B6A"/>
    <w:rsid w:val="007966DB"/>
    <w:rsid w:val="00796FE5"/>
    <w:rsid w:val="007A76CF"/>
    <w:rsid w:val="007B0314"/>
    <w:rsid w:val="007C06EF"/>
    <w:rsid w:val="007C67CE"/>
    <w:rsid w:val="007D231E"/>
    <w:rsid w:val="007D710D"/>
    <w:rsid w:val="007E0C43"/>
    <w:rsid w:val="00800CB1"/>
    <w:rsid w:val="00805E1E"/>
    <w:rsid w:val="0080625E"/>
    <w:rsid w:val="008120B5"/>
    <w:rsid w:val="0082070D"/>
    <w:rsid w:val="00824490"/>
    <w:rsid w:val="008244DD"/>
    <w:rsid w:val="00824D9C"/>
    <w:rsid w:val="008336C2"/>
    <w:rsid w:val="00856DFE"/>
    <w:rsid w:val="00857594"/>
    <w:rsid w:val="00860E80"/>
    <w:rsid w:val="008628A7"/>
    <w:rsid w:val="00867CD2"/>
    <w:rsid w:val="00871423"/>
    <w:rsid w:val="0087190F"/>
    <w:rsid w:val="00874CD3"/>
    <w:rsid w:val="00890708"/>
    <w:rsid w:val="008A1A46"/>
    <w:rsid w:val="008B5630"/>
    <w:rsid w:val="008E2494"/>
    <w:rsid w:val="008E5BF5"/>
    <w:rsid w:val="008F2773"/>
    <w:rsid w:val="008F57B3"/>
    <w:rsid w:val="00924BB1"/>
    <w:rsid w:val="00925FD9"/>
    <w:rsid w:val="00934F35"/>
    <w:rsid w:val="00945C8D"/>
    <w:rsid w:val="00957B0A"/>
    <w:rsid w:val="00965696"/>
    <w:rsid w:val="00976054"/>
    <w:rsid w:val="00991D36"/>
    <w:rsid w:val="00993614"/>
    <w:rsid w:val="009B034B"/>
    <w:rsid w:val="009B0AF4"/>
    <w:rsid w:val="009B4618"/>
    <w:rsid w:val="009C570F"/>
    <w:rsid w:val="009D461F"/>
    <w:rsid w:val="009D6F2A"/>
    <w:rsid w:val="009E63A6"/>
    <w:rsid w:val="009E75FE"/>
    <w:rsid w:val="00A01394"/>
    <w:rsid w:val="00A20ED2"/>
    <w:rsid w:val="00A30E64"/>
    <w:rsid w:val="00A33776"/>
    <w:rsid w:val="00A45B28"/>
    <w:rsid w:val="00A46004"/>
    <w:rsid w:val="00A66B75"/>
    <w:rsid w:val="00A734EA"/>
    <w:rsid w:val="00A7744B"/>
    <w:rsid w:val="00A94E62"/>
    <w:rsid w:val="00AA09B7"/>
    <w:rsid w:val="00AA73B9"/>
    <w:rsid w:val="00AB4A11"/>
    <w:rsid w:val="00AC6643"/>
    <w:rsid w:val="00AD0101"/>
    <w:rsid w:val="00AD4596"/>
    <w:rsid w:val="00AD6DD6"/>
    <w:rsid w:val="00AF491F"/>
    <w:rsid w:val="00B043C0"/>
    <w:rsid w:val="00B10DB3"/>
    <w:rsid w:val="00B15DC9"/>
    <w:rsid w:val="00B3785B"/>
    <w:rsid w:val="00B40411"/>
    <w:rsid w:val="00B53FE7"/>
    <w:rsid w:val="00B85146"/>
    <w:rsid w:val="00BA3DCB"/>
    <w:rsid w:val="00BA448B"/>
    <w:rsid w:val="00BA5DD8"/>
    <w:rsid w:val="00BC34B6"/>
    <w:rsid w:val="00BC40D9"/>
    <w:rsid w:val="00BD3D1C"/>
    <w:rsid w:val="00BD60DD"/>
    <w:rsid w:val="00BD6839"/>
    <w:rsid w:val="00BE3143"/>
    <w:rsid w:val="00BF5460"/>
    <w:rsid w:val="00C1308A"/>
    <w:rsid w:val="00C246B5"/>
    <w:rsid w:val="00C27C32"/>
    <w:rsid w:val="00C908D3"/>
    <w:rsid w:val="00C9515C"/>
    <w:rsid w:val="00CA0DB9"/>
    <w:rsid w:val="00CB49CB"/>
    <w:rsid w:val="00CB7AC1"/>
    <w:rsid w:val="00CB7EE3"/>
    <w:rsid w:val="00CC5114"/>
    <w:rsid w:val="00CE07E2"/>
    <w:rsid w:val="00D07BD8"/>
    <w:rsid w:val="00D11FD8"/>
    <w:rsid w:val="00D22B35"/>
    <w:rsid w:val="00D24BAB"/>
    <w:rsid w:val="00D35BEF"/>
    <w:rsid w:val="00D40F04"/>
    <w:rsid w:val="00D45F86"/>
    <w:rsid w:val="00D474F9"/>
    <w:rsid w:val="00D512DC"/>
    <w:rsid w:val="00D80041"/>
    <w:rsid w:val="00D82FB6"/>
    <w:rsid w:val="00DA439F"/>
    <w:rsid w:val="00DB2FBF"/>
    <w:rsid w:val="00DB6766"/>
    <w:rsid w:val="00DB71B0"/>
    <w:rsid w:val="00DC2075"/>
    <w:rsid w:val="00DD1725"/>
    <w:rsid w:val="00DD589A"/>
    <w:rsid w:val="00DE4E75"/>
    <w:rsid w:val="00DE5BA1"/>
    <w:rsid w:val="00E033FF"/>
    <w:rsid w:val="00E05514"/>
    <w:rsid w:val="00E06FEB"/>
    <w:rsid w:val="00E11324"/>
    <w:rsid w:val="00E443FE"/>
    <w:rsid w:val="00E53794"/>
    <w:rsid w:val="00E621F1"/>
    <w:rsid w:val="00E73679"/>
    <w:rsid w:val="00E80269"/>
    <w:rsid w:val="00E80A5E"/>
    <w:rsid w:val="00E81390"/>
    <w:rsid w:val="00E8358A"/>
    <w:rsid w:val="00E85C2C"/>
    <w:rsid w:val="00E867CF"/>
    <w:rsid w:val="00E91973"/>
    <w:rsid w:val="00E93507"/>
    <w:rsid w:val="00EA3B33"/>
    <w:rsid w:val="00EA4276"/>
    <w:rsid w:val="00EC0719"/>
    <w:rsid w:val="00EC1419"/>
    <w:rsid w:val="00EE3B24"/>
    <w:rsid w:val="00EF1A81"/>
    <w:rsid w:val="00EF28AB"/>
    <w:rsid w:val="00EF2EA4"/>
    <w:rsid w:val="00F15B0F"/>
    <w:rsid w:val="00F15E95"/>
    <w:rsid w:val="00F2788A"/>
    <w:rsid w:val="00F30205"/>
    <w:rsid w:val="00F33AC9"/>
    <w:rsid w:val="00F41B5B"/>
    <w:rsid w:val="00F4712A"/>
    <w:rsid w:val="00F958BE"/>
    <w:rsid w:val="00FA06C2"/>
    <w:rsid w:val="00FB009F"/>
    <w:rsid w:val="00FB411A"/>
    <w:rsid w:val="00FC42BF"/>
    <w:rsid w:val="00FD219A"/>
    <w:rsid w:val="00FF1B05"/>
    <w:rsid w:val="00FF1CD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BB21"/>
  <w15:chartTrackingRefBased/>
  <w15:docId w15:val="{655945DE-A212-4AB9-8012-16BA0426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26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26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268E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268E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268E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268E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268E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268E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268E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268E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268E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268E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268E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268E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268E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268E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268E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268E1"/>
    <w:rPr>
      <w:rFonts w:eastAsiaTheme="majorEastAsia" w:cstheme="majorBidi"/>
      <w:color w:val="272727" w:themeColor="text1" w:themeTint="D8"/>
    </w:rPr>
  </w:style>
  <w:style w:type="paragraph" w:styleId="Titolo">
    <w:name w:val="Title"/>
    <w:basedOn w:val="Normale"/>
    <w:next w:val="Normale"/>
    <w:link w:val="TitoloCarattere"/>
    <w:uiPriority w:val="10"/>
    <w:qFormat/>
    <w:rsid w:val="00726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268E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268E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268E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268E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268E1"/>
    <w:rPr>
      <w:i/>
      <w:iCs/>
      <w:color w:val="404040" w:themeColor="text1" w:themeTint="BF"/>
    </w:rPr>
  </w:style>
  <w:style w:type="paragraph" w:styleId="Paragrafoelenco">
    <w:name w:val="List Paragraph"/>
    <w:basedOn w:val="Normale"/>
    <w:uiPriority w:val="34"/>
    <w:qFormat/>
    <w:rsid w:val="007268E1"/>
    <w:pPr>
      <w:ind w:left="720"/>
      <w:contextualSpacing/>
    </w:pPr>
  </w:style>
  <w:style w:type="character" w:styleId="Enfasiintensa">
    <w:name w:val="Intense Emphasis"/>
    <w:basedOn w:val="Carpredefinitoparagrafo"/>
    <w:uiPriority w:val="21"/>
    <w:qFormat/>
    <w:rsid w:val="007268E1"/>
    <w:rPr>
      <w:i/>
      <w:iCs/>
      <w:color w:val="0F4761" w:themeColor="accent1" w:themeShade="BF"/>
    </w:rPr>
  </w:style>
  <w:style w:type="paragraph" w:styleId="Citazioneintensa">
    <w:name w:val="Intense Quote"/>
    <w:basedOn w:val="Normale"/>
    <w:next w:val="Normale"/>
    <w:link w:val="CitazioneintensaCarattere"/>
    <w:uiPriority w:val="30"/>
    <w:qFormat/>
    <w:rsid w:val="00726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268E1"/>
    <w:rPr>
      <w:i/>
      <w:iCs/>
      <w:color w:val="0F4761" w:themeColor="accent1" w:themeShade="BF"/>
    </w:rPr>
  </w:style>
  <w:style w:type="character" w:styleId="Riferimentointenso">
    <w:name w:val="Intense Reference"/>
    <w:basedOn w:val="Carpredefinitoparagrafo"/>
    <w:uiPriority w:val="32"/>
    <w:qFormat/>
    <w:rsid w:val="007268E1"/>
    <w:rPr>
      <w:b/>
      <w:bCs/>
      <w:smallCaps/>
      <w:color w:val="0F4761" w:themeColor="accent1" w:themeShade="BF"/>
      <w:spacing w:val="5"/>
    </w:rPr>
  </w:style>
  <w:style w:type="character" w:styleId="Testosegnaposto">
    <w:name w:val="Placeholder Text"/>
    <w:basedOn w:val="Carpredefinitoparagrafo"/>
    <w:uiPriority w:val="99"/>
    <w:semiHidden/>
    <w:rsid w:val="00404F29"/>
    <w:rPr>
      <w:color w:val="666666"/>
    </w:rPr>
  </w:style>
  <w:style w:type="paragraph" w:styleId="Didascalia">
    <w:name w:val="caption"/>
    <w:basedOn w:val="Normale"/>
    <w:next w:val="Normale"/>
    <w:uiPriority w:val="35"/>
    <w:unhideWhenUsed/>
    <w:qFormat/>
    <w:rsid w:val="000B48D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emf"/><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emf"/><Relationship Id="rId14"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8" ma:contentTypeDescription="Creare un nuovo documento." ma:contentTypeScope="" ma:versionID="57b8045e8abefa85dedc7991371a38b2">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f5ecd2ee382a35af39c71524ba84a011"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397ED1-CF4E-42B7-B700-9B38A425CC2D}">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7FEFA5C5-35A3-49D6-8B58-1A2065C7D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B8B2AF-DB1A-4B60-9E7A-F3B2E26AF6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Pages>
  <Words>1789</Words>
  <Characters>10202</Characters>
  <Application>Microsoft Office Word</Application>
  <DocSecurity>0</DocSecurity>
  <Lines>85</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Pastore</cp:lastModifiedBy>
  <cp:revision>289</cp:revision>
  <dcterms:created xsi:type="dcterms:W3CDTF">2025-04-08T12:14:00Z</dcterms:created>
  <dcterms:modified xsi:type="dcterms:W3CDTF">2025-04-10T10:44:00Z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