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8292" w14:textId="1CA4B11A" w:rsidR="006B539B" w:rsidRPr="00C74ADB" w:rsidRDefault="006B539B" w:rsidP="007A5C8A">
      <w:pPr>
        <w:pBdr>
          <w:bottom w:val="single" w:sz="4" w:space="1" w:color="auto"/>
        </w:pBdr>
        <w:jc w:val="both"/>
        <w:rPr>
          <w:b/>
          <w:bCs/>
        </w:rPr>
      </w:pPr>
      <w:r w:rsidRPr="00C74ADB">
        <w:rPr>
          <w:b/>
          <w:bCs/>
        </w:rPr>
        <w:t>Assegnazione dei beni ai soci</w:t>
      </w:r>
      <w:r>
        <w:rPr>
          <w:b/>
          <w:bCs/>
        </w:rPr>
        <w:t xml:space="preserve"> (Parte </w:t>
      </w:r>
      <w:r w:rsidR="00DF0D21">
        <w:rPr>
          <w:b/>
          <w:bCs/>
        </w:rPr>
        <w:t>I</w:t>
      </w:r>
      <w:r>
        <w:rPr>
          <w:b/>
          <w:bCs/>
        </w:rPr>
        <w:t xml:space="preserve">I): </w:t>
      </w:r>
      <w:r w:rsidR="00DF0D21">
        <w:rPr>
          <w:b/>
          <w:bCs/>
        </w:rPr>
        <w:t>cas</w:t>
      </w:r>
      <w:r w:rsidR="00607013">
        <w:rPr>
          <w:b/>
          <w:bCs/>
        </w:rPr>
        <w:t>i</w:t>
      </w:r>
      <w:r w:rsidR="00DF0D21">
        <w:rPr>
          <w:b/>
          <w:bCs/>
        </w:rPr>
        <w:t xml:space="preserve"> concret</w:t>
      </w:r>
      <w:r w:rsidR="00607013">
        <w:rPr>
          <w:b/>
          <w:bCs/>
        </w:rPr>
        <w:t>i</w:t>
      </w:r>
    </w:p>
    <w:p w14:paraId="732E1E16" w14:textId="77777777" w:rsidR="006B539B" w:rsidRPr="00C74ADB" w:rsidRDefault="006B539B" w:rsidP="007A5C8A">
      <w:pPr>
        <w:jc w:val="both"/>
        <w:rPr>
          <w:b/>
          <w:bCs/>
        </w:rPr>
      </w:pPr>
      <w:r w:rsidRPr="00C74ADB">
        <w:rPr>
          <w:b/>
          <w:bCs/>
        </w:rPr>
        <w:t>Abstract</w:t>
      </w:r>
    </w:p>
    <w:p w14:paraId="5DC4ECBC" w14:textId="77777777" w:rsidR="00195396" w:rsidRDefault="00195396" w:rsidP="007A5C8A">
      <w:pPr>
        <w:jc w:val="both"/>
        <w:rPr>
          <w:i/>
          <w:iCs/>
        </w:rPr>
      </w:pPr>
      <w:r w:rsidRPr="00195396">
        <w:rPr>
          <w:i/>
          <w:iCs/>
        </w:rPr>
        <w:t>Questo articolo esamina l’effetto dei dazi sul punto di pareggio, introducendo  come fattore chiave. Attraverso modelli di contribuzione unitaria, dimostriamo come i costi fissi vengano bilanciati da un margine ridotto, alterando la quantità di vendita necessaria. L’approccio matematico mostra che un dazio elevato spinge a rivedere prezzi e strategie, evidenziando le sfide competitive e l’importanza di un’analisi rigorosa. Ciò rende cruciale una pianificazione mirata e tutelare i profitti</w:t>
      </w:r>
      <w:r>
        <w:rPr>
          <w:i/>
          <w:iCs/>
        </w:rPr>
        <w:t>.</w:t>
      </w:r>
    </w:p>
    <w:p w14:paraId="450F0C5B" w14:textId="39ECF3A8" w:rsidR="006B539B" w:rsidRPr="00C74ADB" w:rsidRDefault="006B539B" w:rsidP="007A5C8A">
      <w:pPr>
        <w:jc w:val="both"/>
        <w:rPr>
          <w:b/>
          <w:bCs/>
        </w:rPr>
      </w:pPr>
      <w:r w:rsidRPr="00C74ADB">
        <w:rPr>
          <w:b/>
          <w:bCs/>
        </w:rPr>
        <w:t>Introduzione</w:t>
      </w:r>
    </w:p>
    <w:p w14:paraId="21AA8C4E" w14:textId="22E073C2" w:rsidR="006C4D3B" w:rsidRDefault="006C4D3B" w:rsidP="006C4D3B">
      <w:pPr>
        <w:jc w:val="both"/>
      </w:pPr>
      <w:r>
        <w:t>Negli ultimi anni, le tensioni geopolitiche e le politiche protezionistiche adottate da alcuni Paesi, in particolare dagli Stati Uniti, hanno riportato al centro del dibattito economico il tema dei dazi doganali. Questi strumenti, utilizzati per tutelare la produzione interna o per ragioni strategiche, impongono una tassa sulle merci importate e hanno un effetto diretto sulle dinamiche di prezzo, competitività e margini aziendali. Per le imprese europee esportatrici, l’introduzione o l’aumento di un dazio può trasformarsi in un fattore critico di vulnerabilità economica, in quanto incide sull’equilibrio finanziario e sulla sostenibilità delle vendite all’estero.L’obiettivo di questo contributo è duplice: da un lato, comprendere come il dazio agisca sui parametri economici chiave, in particolare sul punto di pareggio; dall’altro, offrire uno strumento analitico e operativo per valutare e simulare l’impatto di diverse ipotesi di dazio sul conto economico aziendale. La trattazione si concentra su un modello semplificato ma efficace, basato su formule parametriche e su un’applicazione pratica tramite un tool specificamente progettato per rappresentare in sintesi l’effetto delle tariffe sulle performance aziendali.</w:t>
      </w:r>
    </w:p>
    <w:p w14:paraId="26D55099" w14:textId="77777777" w:rsidR="006C4D3B" w:rsidRDefault="006C4D3B" w:rsidP="006C4D3B">
      <w:pPr>
        <w:jc w:val="both"/>
      </w:pPr>
    </w:p>
    <w:p w14:paraId="6081C344" w14:textId="77777777" w:rsidR="006C4D3B" w:rsidRDefault="006C4D3B" w:rsidP="006C4D3B">
      <w:pPr>
        <w:jc w:val="both"/>
      </w:pPr>
      <w:r>
        <w:t>IntroduzioneL’influenza dei dazi doganali su prezzi di vendita e costi aziendali è un tema chiave per chi opera sui mercati internazionali. In particolare, quando un’impresa italiana esporta negli Stati Uniti, l’imposizione di una tariffa doganale può modificare radicalmente la soglia di pareggio. Affrontiamo questo aspetto adottando una prospettiva matematica centrata sulla variabile , utile a quantificare il contributo che il dazio esercita sul margine di contribuzione.</w:t>
      </w:r>
    </w:p>
    <w:p w14:paraId="6D2CDEB1" w14:textId="77777777" w:rsidR="006C4D3B" w:rsidRDefault="006C4D3B" w:rsidP="006C4D3B">
      <w:pPr>
        <w:jc w:val="both"/>
      </w:pPr>
    </w:p>
    <w:p w14:paraId="6D682814" w14:textId="77777777" w:rsidR="006C4D3B" w:rsidRDefault="006C4D3B" w:rsidP="006C4D3B">
      <w:pPr>
        <w:jc w:val="both"/>
      </w:pPr>
      <w:r>
        <w:t>Definizioni fondamentaliPer comprendere le relazioni in gioco, definiamo:: prezzo unitario: costo variabile unitario: percentuale di dazio: aliquota residua: quantità venduta: costi fissi</w:t>
      </w:r>
    </w:p>
    <w:p w14:paraId="4FD68A2A" w14:textId="77777777" w:rsidR="006C4D3B" w:rsidRDefault="006C4D3B" w:rsidP="006C4D3B">
      <w:pPr>
        <w:jc w:val="both"/>
      </w:pPr>
    </w:p>
    <w:p w14:paraId="747F53AF" w14:textId="77777777" w:rsidR="006C4D3B" w:rsidRDefault="006C4D3B" w:rsidP="006C4D3B">
      <w:pPr>
        <w:jc w:val="both"/>
      </w:pPr>
      <w:r>
        <w:t>Margine di contribuzione e punto di pareggioNel modello senza dazio, il margine di contribuzione unitario è . Con il dazio, si ha:</w:t>
      </w:r>
    </w:p>
    <w:p w14:paraId="53BA4607" w14:textId="77777777" w:rsidR="006C4D3B" w:rsidRDefault="006C4D3B" w:rsidP="006C4D3B">
      <w:pPr>
        <w:jc w:val="both"/>
      </w:pPr>
    </w:p>
    <w:p w14:paraId="2C1D5249" w14:textId="77777777" w:rsidR="006C4D3B" w:rsidRDefault="006C4D3B" w:rsidP="006C4D3B">
      <w:pPr>
        <w:jc w:val="both"/>
      </w:pPr>
    </w:p>
    <w:p w14:paraId="7BEA88E4" w14:textId="77777777" w:rsidR="006C4D3B" w:rsidRDefault="006C4D3B" w:rsidP="006C4D3B">
      <w:pPr>
        <w:jc w:val="both"/>
      </w:pPr>
    </w:p>
    <w:p w14:paraId="6F9292E1" w14:textId="77777777" w:rsidR="006C4D3B" w:rsidRDefault="006C4D3B" w:rsidP="006C4D3B">
      <w:pPr>
        <w:jc w:val="both"/>
      </w:pPr>
      <w:r>
        <w:t>Il punto di pareggio (break-even point) si raggiunge quando i costi fissi sono interamente coperti dal margine di contribuzione complessivo:</w:t>
      </w:r>
    </w:p>
    <w:p w14:paraId="6519ABE9" w14:textId="77777777" w:rsidR="006C4D3B" w:rsidRDefault="006C4D3B" w:rsidP="006C4D3B">
      <w:pPr>
        <w:jc w:val="both"/>
      </w:pPr>
    </w:p>
    <w:p w14:paraId="24E4F252" w14:textId="77777777" w:rsidR="006C4D3B" w:rsidRDefault="006C4D3B" w:rsidP="006C4D3B">
      <w:pPr>
        <w:jc w:val="both"/>
      </w:pPr>
    </w:p>
    <w:p w14:paraId="7E31041C" w14:textId="77777777" w:rsidR="006C4D3B" w:rsidRDefault="006C4D3B" w:rsidP="006C4D3B">
      <w:pPr>
        <w:jc w:val="both"/>
      </w:pPr>
    </w:p>
    <w:p w14:paraId="39779B96" w14:textId="77777777" w:rsidR="006C4D3B" w:rsidRDefault="006C4D3B" w:rsidP="006C4D3B">
      <w:pPr>
        <w:jc w:val="both"/>
      </w:pPr>
      <w:r>
        <w:t>Quantità di equilibrioPer trovare la quantità di equilibrio , isoliamo la variabile:</w:t>
      </w:r>
    </w:p>
    <w:p w14:paraId="3C98953F" w14:textId="77777777" w:rsidR="006C4D3B" w:rsidRDefault="006C4D3B" w:rsidP="006C4D3B">
      <w:pPr>
        <w:jc w:val="both"/>
      </w:pPr>
    </w:p>
    <w:p w14:paraId="44A25DDD" w14:textId="77777777" w:rsidR="006C4D3B" w:rsidRDefault="006C4D3B" w:rsidP="006C4D3B">
      <w:pPr>
        <w:jc w:val="both"/>
      </w:pPr>
    </w:p>
    <w:p w14:paraId="23F7C82B" w14:textId="77777777" w:rsidR="006C4D3B" w:rsidRDefault="006C4D3B" w:rsidP="006C4D3B">
      <w:pPr>
        <w:jc w:val="both"/>
      </w:pPr>
    </w:p>
    <w:p w14:paraId="73C6EE23" w14:textId="77777777" w:rsidR="006C4D3B" w:rsidRDefault="006C4D3B" w:rsidP="006C4D3B">
      <w:pPr>
        <w:jc w:val="both"/>
      </w:pPr>
      <w:r>
        <w:t>Un valore di  ridotto (cioè un dazio  più elevato) implica un margine minore e quindi una quantità maggiore necessaria per raggiungere il pareggio.</w:t>
      </w:r>
    </w:p>
    <w:p w14:paraId="31AAB0B9" w14:textId="77777777" w:rsidR="006C4D3B" w:rsidRDefault="006C4D3B" w:rsidP="006C4D3B">
      <w:pPr>
        <w:jc w:val="both"/>
      </w:pPr>
    </w:p>
    <w:p w14:paraId="7C4A745B" w14:textId="77777777" w:rsidR="006C4D3B" w:rsidRDefault="006C4D3B" w:rsidP="006C4D3B">
      <w:pPr>
        <w:jc w:val="both"/>
      </w:pPr>
      <w:r>
        <w:t>Prezzo di equilibrioRisolviamo ora rispetto a :</w:t>
      </w:r>
    </w:p>
    <w:p w14:paraId="4F5ECE61" w14:textId="77777777" w:rsidR="006C4D3B" w:rsidRDefault="006C4D3B" w:rsidP="006C4D3B">
      <w:pPr>
        <w:jc w:val="both"/>
      </w:pPr>
    </w:p>
    <w:p w14:paraId="03203AE1" w14:textId="77777777" w:rsidR="006C4D3B" w:rsidRDefault="006C4D3B" w:rsidP="006C4D3B">
      <w:pPr>
        <w:jc w:val="both"/>
      </w:pPr>
    </w:p>
    <w:p w14:paraId="067F82D6" w14:textId="77777777" w:rsidR="006C4D3B" w:rsidRDefault="006C4D3B" w:rsidP="006C4D3B">
      <w:pPr>
        <w:jc w:val="both"/>
      </w:pPr>
    </w:p>
    <w:p w14:paraId="64CB0EF4" w14:textId="77777777" w:rsidR="006C4D3B" w:rsidRDefault="006C4D3B" w:rsidP="006C4D3B">
      <w:pPr>
        <w:jc w:val="both"/>
      </w:pPr>
      <w:r>
        <w:t>Se  diminuisce,  deve aumentare per mantenere costante .</w:t>
      </w:r>
    </w:p>
    <w:p w14:paraId="5D0994D9" w14:textId="77777777" w:rsidR="006C4D3B" w:rsidRDefault="006C4D3B" w:rsidP="006C4D3B">
      <w:pPr>
        <w:jc w:val="both"/>
      </w:pPr>
    </w:p>
    <w:p w14:paraId="53A0412A" w14:textId="77777777" w:rsidR="006C4D3B" w:rsidRDefault="006C4D3B" w:rsidP="006C4D3B">
      <w:pPr>
        <w:jc w:val="both"/>
      </w:pPr>
      <w:r>
        <w:t>Applicazioni praticheSupponiamo: € € €Allora:</w:t>
      </w:r>
    </w:p>
    <w:p w14:paraId="45F0DD85" w14:textId="77777777" w:rsidR="006C4D3B" w:rsidRDefault="006C4D3B" w:rsidP="006C4D3B">
      <w:pPr>
        <w:jc w:val="both"/>
      </w:pPr>
    </w:p>
    <w:p w14:paraId="446F1B6C" w14:textId="77777777" w:rsidR="006C4D3B" w:rsidRDefault="006C4D3B" w:rsidP="006C4D3B">
      <w:pPr>
        <w:jc w:val="both"/>
      </w:pPr>
    </w:p>
    <w:p w14:paraId="757BCB7C" w14:textId="77777777" w:rsidR="006C4D3B" w:rsidRDefault="006C4D3B" w:rsidP="006C4D3B">
      <w:pPr>
        <w:jc w:val="both"/>
      </w:pPr>
    </w:p>
    <w:p w14:paraId="293A384D" w14:textId="77777777" w:rsidR="006C4D3B" w:rsidRDefault="006C4D3B" w:rsidP="006C4D3B">
      <w:pPr>
        <w:jc w:val="both"/>
      </w:pPr>
    </w:p>
    <w:p w14:paraId="398EBD50" w14:textId="77777777" w:rsidR="006C4D3B" w:rsidRDefault="006C4D3B" w:rsidP="006C4D3B">
      <w:pPr>
        <w:jc w:val="both"/>
      </w:pPr>
    </w:p>
    <w:p w14:paraId="340169A6" w14:textId="77777777" w:rsidR="006C4D3B" w:rsidRDefault="006C4D3B" w:rsidP="006C4D3B">
      <w:pPr>
        <w:jc w:val="both"/>
      </w:pPr>
      <w:r>
        <w:t>Se :</w:t>
      </w:r>
    </w:p>
    <w:p w14:paraId="353ED900" w14:textId="77777777" w:rsidR="006C4D3B" w:rsidRDefault="006C4D3B" w:rsidP="006C4D3B">
      <w:pPr>
        <w:jc w:val="both"/>
      </w:pPr>
    </w:p>
    <w:p w14:paraId="4717AAB8" w14:textId="77777777" w:rsidR="006C4D3B" w:rsidRDefault="006C4D3B" w:rsidP="006C4D3B">
      <w:pPr>
        <w:jc w:val="both"/>
      </w:pPr>
    </w:p>
    <w:p w14:paraId="71FD26E3" w14:textId="77777777" w:rsidR="006C4D3B" w:rsidRDefault="006C4D3B" w:rsidP="006C4D3B">
      <w:pPr>
        <w:jc w:val="both"/>
      </w:pPr>
    </w:p>
    <w:p w14:paraId="17C9CEB3" w14:textId="77777777" w:rsidR="006C4D3B" w:rsidRDefault="006C4D3B" w:rsidP="006C4D3B">
      <w:pPr>
        <w:jc w:val="both"/>
      </w:pPr>
    </w:p>
    <w:p w14:paraId="340B62CC" w14:textId="77777777" w:rsidR="006C4D3B" w:rsidRDefault="006C4D3B" w:rsidP="006C4D3B">
      <w:pPr>
        <w:jc w:val="both"/>
      </w:pPr>
    </w:p>
    <w:p w14:paraId="33DA07AC" w14:textId="77777777" w:rsidR="006C4D3B" w:rsidRDefault="006C4D3B" w:rsidP="006C4D3B">
      <w:pPr>
        <w:jc w:val="both"/>
      </w:pPr>
      <w:r>
        <w:t xml:space="preserve">Commento alla schermata del tool "Punto di pareggio"L’immagine mostra un riepilogo sintetico dei principali indicatori economici per valutare l’impatto dei dazi sul risultato aziendale. I valori iniziali indicano un prezzo unitario medio di  €, un costo variabile unitario di  €, con un margine di contribuzione unitario pari a  €. A fronte di una quantità venduta pari a  unità, il margine di contribuzione totale copre perfettamente i costi fissi pari a  €, portando il risultato netto a zero: condizione classica di pareggio.Con l’introduzione di un dazio del 20% applicato al 100% del fatturato, l’incidenza effettiva del dazio è pari al 20% sul totale delle vendite. Questo comporta un incremento dei costi fissi del 66,67%, simulando l’effetto che il dazio produce riducendo il margine e dunque aumentando la soglia da coprire con </w:t>
      </w:r>
      <w:r>
        <w:lastRenderedPageBreak/>
        <w:t>vendite. Il tool rappresenta quindi in modo intuitivo e immediato come il carico fiscale aggiuntivo si riflette sulla sostenibilità economica dell’impresa esportatrice.</w:t>
      </w:r>
    </w:p>
    <w:p w14:paraId="4E6529F9" w14:textId="77777777" w:rsidR="006C4D3B" w:rsidRDefault="006C4D3B" w:rsidP="006C4D3B">
      <w:pPr>
        <w:jc w:val="both"/>
      </w:pPr>
    </w:p>
    <w:p w14:paraId="1A082328" w14:textId="77777777" w:rsidR="006C4D3B" w:rsidRDefault="006C4D3B" w:rsidP="006C4D3B">
      <w:pPr>
        <w:jc w:val="both"/>
      </w:pPr>
      <w:r>
        <w:t>Simulazioni: utilizzo operativo del toolIl tool "Punto di pareggio" consente di effettuare simulazioni personalizzate variando le principali leve economiche: prezzo unitario, costo variabile, costi fissi, aliquota di dazio e percentuale di fatturato colpita dal dazio. Attraverso questi input, il sistema ricalcola in tempo reale il margine di contribuzione, la quantità necessaria al pareggio e l’effetto del dazio sul risultato operativo.Ad esempio, è possibile testare l’effetto di un incremento dei costi variabili, oppure simulare una riduzione della base imponibile soggetta a dazio (es. solo il 60% del fatturato), per comprendere come migliorare la struttura dei margini.Una funzione particolarmente utile è la possibilità di visualizzare l’aumento necessario del prezzo di vendita per assorbire l’effetto del dazio, mantenendo costante la quantità venduta. Questa analisi consente di valutare se l’adeguamento del prezzo è compatibile con il posizionamento competitivo dell’azienda, oppure se è preferibile intervenire su altri driver.Il tool si configura quindi come uno strumento di supporto strategico, utile sia in fase di budgeting che in contesto negoziale, per simulare l’effetto di dazi effettivi o potenziali e preparare risposte reattive e sostenibili.</w:t>
      </w:r>
    </w:p>
    <w:p w14:paraId="4716B1EF" w14:textId="51400FCA" w:rsidR="006B539B" w:rsidRDefault="006B539B" w:rsidP="006C4D3B">
      <w:pPr>
        <w:jc w:val="both"/>
      </w:pPr>
    </w:p>
    <w:sectPr w:rsidR="006B539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9B"/>
    <w:rsid w:val="000001F0"/>
    <w:rsid w:val="00003748"/>
    <w:rsid w:val="0001717E"/>
    <w:rsid w:val="000555F7"/>
    <w:rsid w:val="000952B2"/>
    <w:rsid w:val="000D63F9"/>
    <w:rsid w:val="000E15C4"/>
    <w:rsid w:val="000E2830"/>
    <w:rsid w:val="001015D6"/>
    <w:rsid w:val="00131CB1"/>
    <w:rsid w:val="0014238C"/>
    <w:rsid w:val="00150603"/>
    <w:rsid w:val="00195396"/>
    <w:rsid w:val="001E732A"/>
    <w:rsid w:val="001F16CD"/>
    <w:rsid w:val="002315FF"/>
    <w:rsid w:val="00255893"/>
    <w:rsid w:val="002C1135"/>
    <w:rsid w:val="003033C8"/>
    <w:rsid w:val="00304BF9"/>
    <w:rsid w:val="00336B76"/>
    <w:rsid w:val="00343F59"/>
    <w:rsid w:val="00345680"/>
    <w:rsid w:val="0034635A"/>
    <w:rsid w:val="003904B8"/>
    <w:rsid w:val="00392E4C"/>
    <w:rsid w:val="0044678D"/>
    <w:rsid w:val="00452252"/>
    <w:rsid w:val="00453F82"/>
    <w:rsid w:val="004607D8"/>
    <w:rsid w:val="00464D85"/>
    <w:rsid w:val="004845AC"/>
    <w:rsid w:val="004B79DB"/>
    <w:rsid w:val="004C2256"/>
    <w:rsid w:val="004E5220"/>
    <w:rsid w:val="004F7EC2"/>
    <w:rsid w:val="0050234F"/>
    <w:rsid w:val="0054173D"/>
    <w:rsid w:val="005A7BE9"/>
    <w:rsid w:val="005C042D"/>
    <w:rsid w:val="005C6C85"/>
    <w:rsid w:val="005D6190"/>
    <w:rsid w:val="00607013"/>
    <w:rsid w:val="006156AB"/>
    <w:rsid w:val="00635765"/>
    <w:rsid w:val="006A1B8A"/>
    <w:rsid w:val="006B539B"/>
    <w:rsid w:val="006C4D3B"/>
    <w:rsid w:val="006E00D2"/>
    <w:rsid w:val="006E14EE"/>
    <w:rsid w:val="006F3E55"/>
    <w:rsid w:val="00702CD2"/>
    <w:rsid w:val="007457BF"/>
    <w:rsid w:val="00764A96"/>
    <w:rsid w:val="00776E74"/>
    <w:rsid w:val="00782FDF"/>
    <w:rsid w:val="007A3701"/>
    <w:rsid w:val="007A5C8A"/>
    <w:rsid w:val="007D4731"/>
    <w:rsid w:val="00801C9C"/>
    <w:rsid w:val="0080658F"/>
    <w:rsid w:val="008764A6"/>
    <w:rsid w:val="008B361A"/>
    <w:rsid w:val="008D5C5D"/>
    <w:rsid w:val="008F2D08"/>
    <w:rsid w:val="00903C05"/>
    <w:rsid w:val="00937BFF"/>
    <w:rsid w:val="00974CBF"/>
    <w:rsid w:val="00991AE2"/>
    <w:rsid w:val="009A7767"/>
    <w:rsid w:val="009D52D5"/>
    <w:rsid w:val="009F6312"/>
    <w:rsid w:val="00A01A58"/>
    <w:rsid w:val="00A044CA"/>
    <w:rsid w:val="00AB3BAC"/>
    <w:rsid w:val="00AC2ED0"/>
    <w:rsid w:val="00AF1BA8"/>
    <w:rsid w:val="00B13DB5"/>
    <w:rsid w:val="00B1624B"/>
    <w:rsid w:val="00B62045"/>
    <w:rsid w:val="00B66F83"/>
    <w:rsid w:val="00B84648"/>
    <w:rsid w:val="00BC5013"/>
    <w:rsid w:val="00BC77C2"/>
    <w:rsid w:val="00BF5351"/>
    <w:rsid w:val="00C10871"/>
    <w:rsid w:val="00C10ED0"/>
    <w:rsid w:val="00C1126D"/>
    <w:rsid w:val="00C50997"/>
    <w:rsid w:val="00C53BD7"/>
    <w:rsid w:val="00C81BC4"/>
    <w:rsid w:val="00CB688C"/>
    <w:rsid w:val="00CB7926"/>
    <w:rsid w:val="00D04313"/>
    <w:rsid w:val="00D84A57"/>
    <w:rsid w:val="00D97013"/>
    <w:rsid w:val="00DC11E7"/>
    <w:rsid w:val="00DC28B7"/>
    <w:rsid w:val="00DD6F9A"/>
    <w:rsid w:val="00DE1FC3"/>
    <w:rsid w:val="00DE48F0"/>
    <w:rsid w:val="00DF0D21"/>
    <w:rsid w:val="00DF32DE"/>
    <w:rsid w:val="00DF692A"/>
    <w:rsid w:val="00DF7098"/>
    <w:rsid w:val="00E11324"/>
    <w:rsid w:val="00E16F7C"/>
    <w:rsid w:val="00E353D9"/>
    <w:rsid w:val="00E851A9"/>
    <w:rsid w:val="00E9411B"/>
    <w:rsid w:val="00EA215E"/>
    <w:rsid w:val="00EE6B6F"/>
    <w:rsid w:val="00F37606"/>
    <w:rsid w:val="00F96400"/>
    <w:rsid w:val="00FD437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0D640"/>
  <w15:chartTrackingRefBased/>
  <w15:docId w15:val="{1939A822-E8B7-49B1-8665-3FA58F10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B539B"/>
  </w:style>
  <w:style w:type="paragraph" w:styleId="Titolo1">
    <w:name w:val="heading 1"/>
    <w:basedOn w:val="Normale"/>
    <w:next w:val="Normale"/>
    <w:link w:val="Titolo1Carattere"/>
    <w:uiPriority w:val="9"/>
    <w:qFormat/>
    <w:rsid w:val="006B5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B5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B539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B539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B539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B539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B539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B539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B539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B539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B539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B539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B539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B539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B539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B539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B539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B539B"/>
    <w:rPr>
      <w:rFonts w:eastAsiaTheme="majorEastAsia" w:cstheme="majorBidi"/>
      <w:color w:val="272727" w:themeColor="text1" w:themeTint="D8"/>
    </w:rPr>
  </w:style>
  <w:style w:type="paragraph" w:styleId="Titolo">
    <w:name w:val="Title"/>
    <w:basedOn w:val="Normale"/>
    <w:next w:val="Normale"/>
    <w:link w:val="TitoloCarattere"/>
    <w:uiPriority w:val="10"/>
    <w:qFormat/>
    <w:rsid w:val="006B5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B539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B539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B539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B539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B539B"/>
    <w:rPr>
      <w:i/>
      <w:iCs/>
      <w:color w:val="404040" w:themeColor="text1" w:themeTint="BF"/>
    </w:rPr>
  </w:style>
  <w:style w:type="paragraph" w:styleId="Paragrafoelenco">
    <w:name w:val="List Paragraph"/>
    <w:basedOn w:val="Normale"/>
    <w:uiPriority w:val="34"/>
    <w:qFormat/>
    <w:rsid w:val="006B539B"/>
    <w:pPr>
      <w:ind w:left="720"/>
      <w:contextualSpacing/>
    </w:pPr>
  </w:style>
  <w:style w:type="character" w:styleId="Enfasiintensa">
    <w:name w:val="Intense Emphasis"/>
    <w:basedOn w:val="Carpredefinitoparagrafo"/>
    <w:uiPriority w:val="21"/>
    <w:qFormat/>
    <w:rsid w:val="006B539B"/>
    <w:rPr>
      <w:i/>
      <w:iCs/>
      <w:color w:val="0F4761" w:themeColor="accent1" w:themeShade="BF"/>
    </w:rPr>
  </w:style>
  <w:style w:type="paragraph" w:styleId="Citazioneintensa">
    <w:name w:val="Intense Quote"/>
    <w:basedOn w:val="Normale"/>
    <w:next w:val="Normale"/>
    <w:link w:val="CitazioneintensaCarattere"/>
    <w:uiPriority w:val="30"/>
    <w:qFormat/>
    <w:rsid w:val="006B5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B539B"/>
    <w:rPr>
      <w:i/>
      <w:iCs/>
      <w:color w:val="0F4761" w:themeColor="accent1" w:themeShade="BF"/>
    </w:rPr>
  </w:style>
  <w:style w:type="character" w:styleId="Riferimentointenso">
    <w:name w:val="Intense Reference"/>
    <w:basedOn w:val="Carpredefinitoparagrafo"/>
    <w:uiPriority w:val="32"/>
    <w:qFormat/>
    <w:rsid w:val="006B539B"/>
    <w:rPr>
      <w:b/>
      <w:bCs/>
      <w:smallCaps/>
      <w:color w:val="0F4761" w:themeColor="accent1" w:themeShade="BF"/>
      <w:spacing w:val="5"/>
    </w:rPr>
  </w:style>
  <w:style w:type="paragraph" w:styleId="Didascalia">
    <w:name w:val="caption"/>
    <w:basedOn w:val="Normale"/>
    <w:next w:val="Normale"/>
    <w:uiPriority w:val="35"/>
    <w:unhideWhenUsed/>
    <w:qFormat/>
    <w:rsid w:val="00E16F7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254237">
      <w:bodyDiv w:val="1"/>
      <w:marLeft w:val="0"/>
      <w:marRight w:val="0"/>
      <w:marTop w:val="0"/>
      <w:marBottom w:val="0"/>
      <w:divBdr>
        <w:top w:val="none" w:sz="0" w:space="0" w:color="auto"/>
        <w:left w:val="none" w:sz="0" w:space="0" w:color="auto"/>
        <w:bottom w:val="none" w:sz="0" w:space="0" w:color="auto"/>
        <w:right w:val="none" w:sz="0" w:space="0" w:color="auto"/>
      </w:divBdr>
    </w:div>
    <w:div w:id="1788044202">
      <w:bodyDiv w:val="1"/>
      <w:marLeft w:val="0"/>
      <w:marRight w:val="0"/>
      <w:marTop w:val="0"/>
      <w:marBottom w:val="0"/>
      <w:divBdr>
        <w:top w:val="none" w:sz="0" w:space="0" w:color="auto"/>
        <w:left w:val="none" w:sz="0" w:space="0" w:color="auto"/>
        <w:bottom w:val="none" w:sz="0" w:space="0" w:color="auto"/>
        <w:right w:val="none" w:sz="0" w:space="0" w:color="auto"/>
      </w:divBdr>
    </w:div>
    <w:div w:id="196735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8" ma:contentTypeDescription="Creare un nuovo documento." ma:contentTypeScope="" ma:versionID="57b8045e8abefa85dedc7991371a38b2">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f5ecd2ee382a35af39c71524ba84a011"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D9EA9D-4F49-4F77-ABCC-8E9B0055D7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E25F55-96D5-4BA6-9E8D-0A4B1E729CEE}">
  <ds:schemaRefs>
    <ds:schemaRef ds:uri="http://schemas.microsoft.com/sharepoint/v3/contenttype/forms"/>
  </ds:schemaRefs>
</ds:datastoreItem>
</file>

<file path=customXml/itemProps3.xml><?xml version="1.0" encoding="utf-8"?>
<ds:datastoreItem xmlns:ds="http://schemas.openxmlformats.org/officeDocument/2006/customXml" ds:itemID="{1AFF08B0-50CE-497B-986B-A00C9B2E0C2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806</Words>
  <Characters>4630</Characters>
  <Application>Microsoft Office Word</Application>
  <DocSecurity>0</DocSecurity>
  <Lines>73</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4</cp:revision>
  <dcterms:created xsi:type="dcterms:W3CDTF">2025-04-08T12:30:00Z</dcterms:created>
  <dcterms:modified xsi:type="dcterms:W3CDTF">2025-04-08T12:31:00Z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