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18EB" w14:textId="632FE14E" w:rsidR="00EC1419" w:rsidRPr="00FA5068" w:rsidRDefault="0016722A" w:rsidP="00AF53D5">
      <w:pPr>
        <w:jc w:val="both"/>
        <w:rPr>
          <w:b/>
          <w:bCs/>
          <w:sz w:val="32"/>
          <w:szCs w:val="32"/>
        </w:rPr>
      </w:pPr>
      <w:r>
        <w:rPr>
          <w:b/>
          <w:bCs/>
          <w:sz w:val="32"/>
          <w:szCs w:val="32"/>
        </w:rPr>
        <w:t>Gli ATECO 2025</w:t>
      </w:r>
      <w:r w:rsidR="00396A84">
        <w:rPr>
          <w:b/>
          <w:bCs/>
          <w:sz w:val="32"/>
          <w:szCs w:val="32"/>
        </w:rPr>
        <w:t>: tra nuove attività e</w:t>
      </w:r>
      <w:r w:rsidR="00B931D2">
        <w:rPr>
          <w:b/>
          <w:bCs/>
          <w:sz w:val="32"/>
          <w:szCs w:val="32"/>
        </w:rPr>
        <w:t>d effetti fiscali</w:t>
      </w:r>
    </w:p>
    <w:p w14:paraId="18A827E8" w14:textId="471F863F" w:rsidR="0016722A" w:rsidRPr="0016722A" w:rsidRDefault="0016722A" w:rsidP="0016722A">
      <w:pPr>
        <w:jc w:val="both"/>
        <w:rPr>
          <w:i/>
          <w:iCs/>
        </w:rPr>
      </w:pPr>
      <w:r w:rsidRPr="0016722A">
        <w:rPr>
          <w:i/>
          <w:iCs/>
        </w:rPr>
        <w:t xml:space="preserve">Dal 1gennaio 2025 è entrata formalmente in vigore la nuova classificazione ATECO 2025, che </w:t>
      </w:r>
      <w:r w:rsidR="0081282F">
        <w:rPr>
          <w:i/>
          <w:iCs/>
        </w:rPr>
        <w:t xml:space="preserve">è da considerarsi </w:t>
      </w:r>
      <w:r w:rsidRPr="0016722A">
        <w:rPr>
          <w:i/>
          <w:iCs/>
        </w:rPr>
        <w:t>pienamente operativa dal 1aprile 2025. Questa riforma rappresenta un importante aggiornamento del sistema di classificazione delle attività economiche italiane, sviluppato dall'ISTAT in collaborazione con il sistema camerale e l'Agenzia delle Entrate.</w:t>
      </w:r>
    </w:p>
    <w:p w14:paraId="113C89F8" w14:textId="0E01BBAB" w:rsidR="0016722A" w:rsidRDefault="0016722A" w:rsidP="0016722A">
      <w:pPr>
        <w:jc w:val="both"/>
        <w:rPr>
          <w:i/>
          <w:iCs/>
        </w:rPr>
      </w:pPr>
      <w:r w:rsidRPr="0016722A">
        <w:rPr>
          <w:i/>
          <w:iCs/>
        </w:rPr>
        <w:t>L'aggiornamento nasce dalla necessità di allineare la classificazione italiana alla nuova versione europea NACE Rev. 2.1, adottata con il Regolamento delegato (UE) 2023/137 della Commissione</w:t>
      </w:r>
      <w:r w:rsidR="00C61A53">
        <w:rPr>
          <w:i/>
          <w:iCs/>
        </w:rPr>
        <w:t>,</w:t>
      </w:r>
      <w:r w:rsidRPr="0016722A">
        <w:rPr>
          <w:i/>
          <w:iCs/>
        </w:rPr>
        <w:t xml:space="preserve"> e di riflettere meglio le trasformazioni del tessuto produttivo nazionale degli ultimi ann</w:t>
      </w:r>
      <w:r w:rsidR="004D0562">
        <w:rPr>
          <w:i/>
          <w:iCs/>
        </w:rPr>
        <w:t>i</w:t>
      </w:r>
      <w:r w:rsidRPr="0016722A">
        <w:rPr>
          <w:i/>
          <w:iCs/>
        </w:rPr>
        <w:t>.</w:t>
      </w:r>
    </w:p>
    <w:p w14:paraId="4EC771BB" w14:textId="77777777" w:rsidR="004D0562" w:rsidRPr="004D0562" w:rsidRDefault="004D0562" w:rsidP="004D0562">
      <w:pPr>
        <w:jc w:val="both"/>
        <w:rPr>
          <w:b/>
          <w:bCs/>
        </w:rPr>
      </w:pPr>
      <w:r w:rsidRPr="004D0562">
        <w:rPr>
          <w:b/>
          <w:bCs/>
        </w:rPr>
        <w:t>Una riforma per l'economia moderna</w:t>
      </w:r>
    </w:p>
    <w:p w14:paraId="5462E461" w14:textId="76EEB52B" w:rsidR="004D0562" w:rsidRPr="004D0562" w:rsidRDefault="004D0562" w:rsidP="004D0562">
      <w:pPr>
        <w:jc w:val="both"/>
      </w:pPr>
      <w:r w:rsidRPr="004D0562">
        <w:t>Dal 1</w:t>
      </w:r>
      <w:r w:rsidR="00C61A53">
        <w:t>°</w:t>
      </w:r>
      <w:r w:rsidR="0081282F">
        <w:t xml:space="preserve"> </w:t>
      </w:r>
      <w:r w:rsidRPr="004D0562">
        <w:t xml:space="preserve">gennaio 2025 è entrata formalmente in vigore la nuova classificazione ATECO 2025, </w:t>
      </w:r>
      <w:r>
        <w:t xml:space="preserve">divenuta </w:t>
      </w:r>
      <w:r w:rsidRPr="004D0562">
        <w:t>pienamente operativa dal 1</w:t>
      </w:r>
      <w:r w:rsidR="00C61A53">
        <w:t>°</w:t>
      </w:r>
      <w:r w:rsidR="00C946B1">
        <w:t xml:space="preserve"> </w:t>
      </w:r>
      <w:r w:rsidRPr="004D0562">
        <w:t>aprile 2025. Questa riforma rappresenta un importante aggiornamento del sistema di classificazione delle attività economiche italiane, sviluppato dall'ISTAT in collaborazione con il sistema camerale e l'Agenzia delle Entrate.</w:t>
      </w:r>
    </w:p>
    <w:p w14:paraId="70E04815" w14:textId="77777777" w:rsidR="004D0562" w:rsidRPr="004D0562" w:rsidRDefault="004D0562" w:rsidP="004D0562">
      <w:pPr>
        <w:jc w:val="both"/>
      </w:pPr>
      <w:r w:rsidRPr="004D0562">
        <w:t>L'aggiornamento nasce dalla necessità di allineare la classificazione italiana alla nuova versione europea NACE Rev. 2.1, adottata con il Regolamento delegato (UE) 2023/137 della Commissione, e di riflettere meglio le trasformazioni del tessuto produttivo nazionale degli ultimi anni.</w:t>
      </w:r>
    </w:p>
    <w:p w14:paraId="673A4E94" w14:textId="77777777" w:rsidR="004D0562" w:rsidRPr="004D0562" w:rsidRDefault="004D0562" w:rsidP="004D0562">
      <w:pPr>
        <w:jc w:val="both"/>
        <w:rPr>
          <w:b/>
          <w:bCs/>
        </w:rPr>
      </w:pPr>
      <w:r w:rsidRPr="004D0562">
        <w:rPr>
          <w:b/>
          <w:bCs/>
        </w:rPr>
        <w:t>La struttura rinnovata</w:t>
      </w:r>
    </w:p>
    <w:p w14:paraId="42E574D5" w14:textId="77777777" w:rsidR="004D0562" w:rsidRPr="004D0562" w:rsidRDefault="004D0562" w:rsidP="004D0562">
      <w:pPr>
        <w:jc w:val="both"/>
      </w:pPr>
      <w:r w:rsidRPr="004D0562">
        <w:t>La struttura gerarchica della classificazione rimane invariata, articolata in sezioni, divisioni, gruppi, classi, categorie e sottocategorie. Tuttavia, il contenuto è stato significativamente rivisto per rappresentare con maggiore precisione le attività economiche contemporanee.</w:t>
      </w:r>
    </w:p>
    <w:p w14:paraId="18EFB4AE" w14:textId="77777777" w:rsidR="004D0562" w:rsidRPr="004D0562" w:rsidRDefault="004D0562" w:rsidP="004D0562">
      <w:pPr>
        <w:jc w:val="both"/>
      </w:pPr>
      <w:r w:rsidRPr="004D0562">
        <w:t>Dal punto di vista quantitativo, sono aumentati i codici per gruppi (+15), classi (+36) e sottocategorie (+49), mentre sono diminuite le divisioni (-1). Complessivamente, sono stati introdotti 1.070 nuovi codici, eliminati 970 codici esistenti e modificati i titoli di 1.428 codici.</w:t>
      </w:r>
    </w:p>
    <w:p w14:paraId="15E6C381" w14:textId="77777777" w:rsidR="004D0562" w:rsidRPr="004D0562" w:rsidRDefault="004D0562" w:rsidP="004D0562">
      <w:pPr>
        <w:jc w:val="both"/>
        <w:rPr>
          <w:b/>
          <w:bCs/>
        </w:rPr>
      </w:pPr>
      <w:r w:rsidRPr="004D0562">
        <w:rPr>
          <w:b/>
          <w:bCs/>
        </w:rPr>
        <w:t>Professioni digitali finalmente riconosciute</w:t>
      </w:r>
    </w:p>
    <w:p w14:paraId="50E6E063" w14:textId="77777777" w:rsidR="004D0562" w:rsidRPr="004D0562" w:rsidRDefault="004D0562" w:rsidP="004D0562">
      <w:pPr>
        <w:jc w:val="both"/>
      </w:pPr>
      <w:r w:rsidRPr="004D0562">
        <w:t xml:space="preserve">Una delle innovazioni più attese riguarda il riconoscimento formale delle professioni digitali. </w:t>
      </w:r>
      <w:r w:rsidRPr="004D0562">
        <w:rPr>
          <w:b/>
          <w:bCs/>
        </w:rPr>
        <w:t>Il nuovo codice ATECO 73.11.03</w:t>
      </w:r>
      <w:r w:rsidRPr="004D0562">
        <w:t xml:space="preserve"> è stato introdotto specificamente per le attività di influencer marketing e </w:t>
      </w:r>
      <w:proofErr w:type="spellStart"/>
      <w:r w:rsidRPr="004D0562">
        <w:t>content</w:t>
      </w:r>
      <w:proofErr w:type="spellEnd"/>
      <w:r w:rsidRPr="004D0562">
        <w:t xml:space="preserve"> </w:t>
      </w:r>
      <w:proofErr w:type="spellStart"/>
      <w:r w:rsidRPr="004D0562">
        <w:t>creation</w:t>
      </w:r>
      <w:proofErr w:type="spellEnd"/>
      <w:r w:rsidRPr="004D0562">
        <w:t>, come confermato dall'INPS con messaggio del 19 febbraio 2025.</w:t>
      </w:r>
    </w:p>
    <w:p w14:paraId="0038537E" w14:textId="77777777" w:rsidR="00F81C36" w:rsidRDefault="00F81C36" w:rsidP="00F81C36">
      <w:pPr>
        <w:keepNext/>
        <w:jc w:val="both"/>
      </w:pPr>
      <w:r>
        <w:rPr>
          <w:noProof/>
        </w:rPr>
        <w:lastRenderedPageBreak/>
        <w:drawing>
          <wp:inline distT="0" distB="0" distL="0" distR="0" wp14:anchorId="78D93160" wp14:editId="0F8E6574">
            <wp:extent cx="6064510" cy="1720312"/>
            <wp:effectExtent l="0" t="0" r="0" b="0"/>
            <wp:docPr id="1145746477"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46477" name="Immagine 1" descr="Immagine che contiene testo, schermata, Carattere, linea&#10;&#10;Il contenuto generato dall'IA potrebbe non essere corretto."/>
                    <pic:cNvPicPr/>
                  </pic:nvPicPr>
                  <pic:blipFill>
                    <a:blip r:embed="rId8"/>
                    <a:stretch>
                      <a:fillRect/>
                    </a:stretch>
                  </pic:blipFill>
                  <pic:spPr>
                    <a:xfrm>
                      <a:off x="0" y="0"/>
                      <a:ext cx="6086717" cy="1726611"/>
                    </a:xfrm>
                    <a:prstGeom prst="rect">
                      <a:avLst/>
                    </a:prstGeom>
                  </pic:spPr>
                </pic:pic>
              </a:graphicData>
            </a:graphic>
          </wp:inline>
        </w:drawing>
      </w:r>
    </w:p>
    <w:p w14:paraId="4BE505B2" w14:textId="501E5029" w:rsidR="00F81C36" w:rsidRDefault="00F81C36" w:rsidP="00F81C36">
      <w:pPr>
        <w:pStyle w:val="Didascalia"/>
        <w:jc w:val="both"/>
      </w:pPr>
      <w:r>
        <w:t xml:space="preserve">Figura </w:t>
      </w:r>
      <w:fldSimple w:instr=" SEQ Figura \* ARABIC ">
        <w:r w:rsidR="0044654E">
          <w:rPr>
            <w:noProof/>
          </w:rPr>
          <w:t>1</w:t>
        </w:r>
      </w:fldSimple>
      <w:r>
        <w:t>: Le attività 73.11</w:t>
      </w:r>
    </w:p>
    <w:p w14:paraId="443B1C78" w14:textId="6BA8F5A7" w:rsidR="004D0562" w:rsidRPr="004D0562" w:rsidRDefault="004D0562" w:rsidP="004D0562">
      <w:pPr>
        <w:jc w:val="both"/>
      </w:pPr>
      <w:r w:rsidRPr="004D0562">
        <w:t>Questo codice identifica:</w:t>
      </w:r>
    </w:p>
    <w:p w14:paraId="2ABFEDA7" w14:textId="77777777" w:rsidR="004D0562" w:rsidRPr="004D0562" w:rsidRDefault="004D0562" w:rsidP="004D0562">
      <w:pPr>
        <w:numPr>
          <w:ilvl w:val="0"/>
          <w:numId w:val="1"/>
        </w:numPr>
        <w:jc w:val="both"/>
      </w:pPr>
      <w:r w:rsidRPr="004D0562">
        <w:t>Creazione di contenuti digitali (foto, video, testi, podcast) a fini promozionali</w:t>
      </w:r>
    </w:p>
    <w:p w14:paraId="200CF324" w14:textId="77777777" w:rsidR="004D0562" w:rsidRPr="004D0562" w:rsidRDefault="004D0562" w:rsidP="004D0562">
      <w:pPr>
        <w:numPr>
          <w:ilvl w:val="0"/>
          <w:numId w:val="1"/>
        </w:numPr>
        <w:jc w:val="both"/>
      </w:pPr>
      <w:r w:rsidRPr="004D0562">
        <w:t xml:space="preserve">Collaborazioni retribuite con </w:t>
      </w:r>
      <w:proofErr w:type="gramStart"/>
      <w:r w:rsidRPr="004D0562">
        <w:t>brand</w:t>
      </w:r>
      <w:proofErr w:type="gramEnd"/>
      <w:r w:rsidRPr="004D0562">
        <w:t xml:space="preserve"> (sponsorizzazioni, affiliazioni, partnership)</w:t>
      </w:r>
    </w:p>
    <w:p w14:paraId="2BD86CE5" w14:textId="77777777" w:rsidR="004D0562" w:rsidRPr="004D0562" w:rsidRDefault="004D0562" w:rsidP="004D0562">
      <w:pPr>
        <w:numPr>
          <w:ilvl w:val="0"/>
          <w:numId w:val="1"/>
        </w:numPr>
        <w:jc w:val="both"/>
      </w:pPr>
      <w:r w:rsidRPr="004D0562">
        <w:t>Gestione e monetizzazione di canali social</w:t>
      </w:r>
    </w:p>
    <w:p w14:paraId="28D6453D" w14:textId="77777777" w:rsidR="004D0562" w:rsidRPr="004D0562" w:rsidRDefault="004D0562" w:rsidP="004D0562">
      <w:pPr>
        <w:numPr>
          <w:ilvl w:val="0"/>
          <w:numId w:val="1"/>
        </w:numPr>
        <w:jc w:val="both"/>
      </w:pPr>
      <w:r w:rsidRPr="004D0562">
        <w:t>Consulenza di personal branding</w:t>
      </w:r>
    </w:p>
    <w:p w14:paraId="3F2B09E8" w14:textId="77777777" w:rsidR="004D0562" w:rsidRDefault="004D0562" w:rsidP="004D0562">
      <w:pPr>
        <w:jc w:val="both"/>
      </w:pPr>
      <w:r w:rsidRPr="004D0562">
        <w:t>Il riconoscimento formale di queste attività rappresenta un passo importante per migliaia di professionisti che fino ad oggi dovevano utilizzare codici generici come il 74.90.99 ("Altre attività professionali").</w:t>
      </w:r>
    </w:p>
    <w:p w14:paraId="3FC5535A" w14:textId="07958409" w:rsidR="00B82D58" w:rsidRPr="00B82D58" w:rsidRDefault="00B82D58" w:rsidP="00B82D58">
      <w:pPr>
        <w:jc w:val="both"/>
      </w:pPr>
      <w:r w:rsidRPr="00B82D58">
        <w:t xml:space="preserve">Il </w:t>
      </w:r>
      <w:r w:rsidRPr="00B82D58">
        <w:rPr>
          <w:b/>
          <w:bCs/>
        </w:rPr>
        <w:t xml:space="preserve">coefficiente di redditività </w:t>
      </w:r>
      <w:r>
        <w:rPr>
          <w:b/>
          <w:bCs/>
        </w:rPr>
        <w:t xml:space="preserve">per i forfettari </w:t>
      </w:r>
      <w:r w:rsidRPr="00B82D58">
        <w:rPr>
          <w:b/>
          <w:bCs/>
        </w:rPr>
        <w:t>applicabile al codice ATECO 2025</w:t>
      </w:r>
      <w:r w:rsidR="00B818F1">
        <w:rPr>
          <w:b/>
          <w:bCs/>
        </w:rPr>
        <w:t>,</w:t>
      </w:r>
      <w:r w:rsidRPr="00B82D58">
        <w:rPr>
          <w:b/>
          <w:bCs/>
        </w:rPr>
        <w:t xml:space="preserve"> 73.11.03</w:t>
      </w:r>
      <w:r w:rsidRPr="00B82D58">
        <w:t xml:space="preserve"> (Attività di creazione di contenuti digitali per finalità promozionali) </w:t>
      </w:r>
      <w:r w:rsidRPr="00B82D58">
        <w:rPr>
          <w:b/>
          <w:bCs/>
        </w:rPr>
        <w:t>è pari al 78%</w:t>
      </w:r>
      <w:r w:rsidR="009A0C89">
        <w:t xml:space="preserve">, in coerenza </w:t>
      </w:r>
      <w:r w:rsidRPr="00B82D58">
        <w:t>con quello precedentemente attribuito ad attività simili nel ramo della pubblicità, design e consulenze creative.</w:t>
      </w:r>
      <w:r w:rsidR="008929E3">
        <w:t xml:space="preserve"> </w:t>
      </w:r>
      <w:r w:rsidRPr="00B82D58">
        <w:t>La fonte di riferimento è la tabella dei coefficienti di redditività aggiornata per il regime forfettario 2025, allegata alla documentazione INPS e Agenzia delle Entrate relativa all’implementazione di ATECO 2025.</w:t>
      </w:r>
    </w:p>
    <w:p w14:paraId="7127CD77" w14:textId="77777777" w:rsidR="004D0562" w:rsidRPr="004D0562" w:rsidRDefault="004D0562" w:rsidP="004D0562">
      <w:pPr>
        <w:jc w:val="both"/>
        <w:rPr>
          <w:b/>
          <w:bCs/>
        </w:rPr>
      </w:pPr>
      <w:r w:rsidRPr="004D0562">
        <w:rPr>
          <w:b/>
          <w:bCs/>
        </w:rPr>
        <w:t>Il controverso codice 96.99.92</w:t>
      </w:r>
    </w:p>
    <w:p w14:paraId="2F750E45" w14:textId="77777777" w:rsidR="0044654E" w:rsidRDefault="00030D00" w:rsidP="0044654E">
      <w:pPr>
        <w:keepNext/>
        <w:jc w:val="both"/>
      </w:pPr>
      <w:r>
        <w:rPr>
          <w:noProof/>
        </w:rPr>
        <w:drawing>
          <wp:inline distT="0" distB="0" distL="0" distR="0" wp14:anchorId="0A92BE32" wp14:editId="76E51AD8">
            <wp:extent cx="6120130" cy="2065020"/>
            <wp:effectExtent l="0" t="0" r="0" b="0"/>
            <wp:docPr id="680666705"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66705" name="Immagine 1" descr="Immagine che contiene testo, schermata, linea, numero&#10;&#10;Il contenuto generato dall'IA potrebbe non essere corretto."/>
                    <pic:cNvPicPr/>
                  </pic:nvPicPr>
                  <pic:blipFill>
                    <a:blip r:embed="rId9"/>
                    <a:stretch>
                      <a:fillRect/>
                    </a:stretch>
                  </pic:blipFill>
                  <pic:spPr>
                    <a:xfrm>
                      <a:off x="0" y="0"/>
                      <a:ext cx="6120130" cy="2065020"/>
                    </a:xfrm>
                    <a:prstGeom prst="rect">
                      <a:avLst/>
                    </a:prstGeom>
                  </pic:spPr>
                </pic:pic>
              </a:graphicData>
            </a:graphic>
          </wp:inline>
        </w:drawing>
      </w:r>
    </w:p>
    <w:p w14:paraId="5749380B" w14:textId="1E5755E2" w:rsidR="009A0C89" w:rsidRDefault="0044654E" w:rsidP="0044654E">
      <w:pPr>
        <w:pStyle w:val="Didascalia"/>
        <w:jc w:val="both"/>
      </w:pPr>
      <w:r>
        <w:t xml:space="preserve">Figura </w:t>
      </w:r>
      <w:fldSimple w:instr=" SEQ Figura \* ARABIC ">
        <w:r>
          <w:rPr>
            <w:noProof/>
          </w:rPr>
          <w:t>2</w:t>
        </w:r>
      </w:fldSimple>
      <w:r>
        <w:t>: I codici ATECO 96.99</w:t>
      </w:r>
    </w:p>
    <w:p w14:paraId="1F023350" w14:textId="0DF6FCB4" w:rsidR="004D0562" w:rsidRPr="004D0562" w:rsidRDefault="004D0562" w:rsidP="004D0562">
      <w:pPr>
        <w:jc w:val="both"/>
      </w:pPr>
      <w:r w:rsidRPr="004D0562">
        <w:t xml:space="preserve">Tra le novità più discusse spicca l'introduzione del </w:t>
      </w:r>
      <w:r w:rsidRPr="004D0562">
        <w:rPr>
          <w:b/>
          <w:bCs/>
        </w:rPr>
        <w:t>codice 96.99.92</w:t>
      </w:r>
      <w:r w:rsidRPr="004D0562">
        <w:t xml:space="preserve"> denominato "Servizi di incontro ed eventi simili". Come chiarito dall'ISTAT, questo codice ricomprende:</w:t>
      </w:r>
    </w:p>
    <w:p w14:paraId="327738E3" w14:textId="77777777" w:rsidR="004D0562" w:rsidRPr="004D0562" w:rsidRDefault="004D0562" w:rsidP="004D0562">
      <w:pPr>
        <w:numPr>
          <w:ilvl w:val="0"/>
          <w:numId w:val="2"/>
        </w:numPr>
        <w:jc w:val="both"/>
      </w:pPr>
      <w:r w:rsidRPr="004D0562">
        <w:lastRenderedPageBreak/>
        <w:t>Attività connesse alla vita sociale (agenzie matrimoniali, speed dating)</w:t>
      </w:r>
    </w:p>
    <w:p w14:paraId="22CE387B" w14:textId="77777777" w:rsidR="004D0562" w:rsidRPr="004D0562" w:rsidRDefault="004D0562" w:rsidP="004D0562">
      <w:pPr>
        <w:numPr>
          <w:ilvl w:val="0"/>
          <w:numId w:val="2"/>
        </w:numPr>
        <w:jc w:val="both"/>
      </w:pPr>
      <w:r w:rsidRPr="004D0562">
        <w:t>Attività di accompagnatori e accompagnatrici (escort)</w:t>
      </w:r>
    </w:p>
    <w:p w14:paraId="5C597C42" w14:textId="77777777" w:rsidR="004D0562" w:rsidRPr="004D0562" w:rsidRDefault="004D0562" w:rsidP="004D0562">
      <w:pPr>
        <w:numPr>
          <w:ilvl w:val="0"/>
          <w:numId w:val="2"/>
        </w:numPr>
        <w:jc w:val="both"/>
      </w:pPr>
      <w:r w:rsidRPr="004D0562">
        <w:t>Fornitura o organizzazione di servizi sessuali</w:t>
      </w:r>
    </w:p>
    <w:p w14:paraId="7000C4F1" w14:textId="77777777" w:rsidR="004D0562" w:rsidRPr="004D0562" w:rsidRDefault="004D0562" w:rsidP="004D0562">
      <w:pPr>
        <w:numPr>
          <w:ilvl w:val="0"/>
          <w:numId w:val="2"/>
        </w:numPr>
        <w:jc w:val="both"/>
      </w:pPr>
      <w:r w:rsidRPr="004D0562">
        <w:t>Organizzazione di eventi di prostituzione o gestione di locali di prostituzione</w:t>
      </w:r>
    </w:p>
    <w:p w14:paraId="68905100" w14:textId="77777777" w:rsidR="004D0562" w:rsidRPr="004D0562" w:rsidRDefault="004D0562" w:rsidP="004D0562">
      <w:pPr>
        <w:jc w:val="both"/>
      </w:pPr>
      <w:r w:rsidRPr="004D0562">
        <w:t>L'ISTAT ha precisato che questa classificazione deriva direttamente dalla normativa europea NACE Rev. 2.1 e che si applica esclusivamente alle attività legali, mentre quelle illegali vengono stimate indirettamente per i conti nazionali come richiesto dall'UE.</w:t>
      </w:r>
    </w:p>
    <w:p w14:paraId="03806C28" w14:textId="77777777" w:rsidR="004D0562" w:rsidRPr="004D0562" w:rsidRDefault="004D0562" w:rsidP="004D0562">
      <w:pPr>
        <w:jc w:val="both"/>
        <w:rPr>
          <w:b/>
          <w:bCs/>
        </w:rPr>
      </w:pPr>
      <w:r w:rsidRPr="004D0562">
        <w:rPr>
          <w:b/>
          <w:bCs/>
        </w:rPr>
        <w:t>Il passaggio operativo dal 1° aprile</w:t>
      </w:r>
    </w:p>
    <w:p w14:paraId="70C1F75F" w14:textId="7431E0E9" w:rsidR="004D0562" w:rsidRPr="004D0562" w:rsidRDefault="004D0562" w:rsidP="004D0562">
      <w:pPr>
        <w:jc w:val="both"/>
      </w:pPr>
      <w:r w:rsidRPr="004D0562">
        <w:t xml:space="preserve">La transizione alla nuova classificazione </w:t>
      </w:r>
      <w:r w:rsidR="00686824">
        <w:t xml:space="preserve">è avvenuta </w:t>
      </w:r>
      <w:r w:rsidRPr="004D0562">
        <w:t>in due fasi distinte:</w:t>
      </w:r>
    </w:p>
    <w:p w14:paraId="5E15B252" w14:textId="77777777" w:rsidR="00EB07D7" w:rsidRDefault="004D0562" w:rsidP="00EB07D7">
      <w:pPr>
        <w:pStyle w:val="Paragrafoelenco"/>
        <w:numPr>
          <w:ilvl w:val="0"/>
          <w:numId w:val="10"/>
        </w:numPr>
        <w:jc w:val="both"/>
      </w:pPr>
      <w:r w:rsidRPr="00EB07D7">
        <w:rPr>
          <w:b/>
          <w:bCs/>
        </w:rPr>
        <w:t>Fase 1 (1° gennaio 2025)</w:t>
      </w:r>
      <w:r w:rsidRPr="004D0562">
        <w:t xml:space="preserve">: Entrata in vigore formale della nuova classificazione </w:t>
      </w:r>
    </w:p>
    <w:p w14:paraId="5C3BE43B" w14:textId="1D764A86" w:rsidR="004D0562" w:rsidRPr="004D0562" w:rsidRDefault="004D0562" w:rsidP="00EB07D7">
      <w:pPr>
        <w:pStyle w:val="Paragrafoelenco"/>
        <w:numPr>
          <w:ilvl w:val="0"/>
          <w:numId w:val="10"/>
        </w:numPr>
        <w:jc w:val="both"/>
      </w:pPr>
      <w:r w:rsidRPr="00EB07D7">
        <w:rPr>
          <w:b/>
          <w:bCs/>
        </w:rPr>
        <w:t>Fase 2 (1° aprile 2025)</w:t>
      </w:r>
      <w:r w:rsidRPr="004D0562">
        <w:t>: Adozione operativa da parte di tutte le amministrazioni</w:t>
      </w:r>
    </w:p>
    <w:p w14:paraId="00AF9ADB" w14:textId="77777777" w:rsidR="004D0562" w:rsidRDefault="004D0562" w:rsidP="004D0562">
      <w:pPr>
        <w:jc w:val="both"/>
      </w:pPr>
      <w:r w:rsidRPr="004D0562">
        <w:t>Dal 1° aprile 2025, le Camere di Commercio hanno proceduto automaticamente all'aggiornamento dei codici ATECO delle imprese utilizzando la Tavola di riclassificazione predisposta dall'ISTAT. Questa operazione applica una logica probabilistica per gestire i passaggi da codici non più univoci.</w:t>
      </w:r>
    </w:p>
    <w:p w14:paraId="31B78337" w14:textId="7F798592" w:rsidR="001F5286" w:rsidRDefault="0036204F" w:rsidP="004D0562">
      <w:pPr>
        <w:jc w:val="both"/>
      </w:pPr>
      <w:r>
        <w:t>Partendo da queste tabelle e dall</w:t>
      </w:r>
      <w:r w:rsidR="00365B81">
        <w:t xml:space="preserve">e successive comunicazioni il TOOL </w:t>
      </w:r>
      <w:r w:rsidR="00610A6B">
        <w:t>TROVA ATECO 2025 del Sole 24Ore</w:t>
      </w:r>
      <w:r w:rsidR="003906D9">
        <w:t>, è in grado di identificare conversioni e nuovi codici.</w:t>
      </w:r>
    </w:p>
    <w:p w14:paraId="607BA632" w14:textId="261B196B" w:rsidR="004D0562" w:rsidRPr="004D0562" w:rsidRDefault="004D0562" w:rsidP="004D0562">
      <w:pPr>
        <w:jc w:val="both"/>
        <w:rPr>
          <w:b/>
          <w:bCs/>
        </w:rPr>
      </w:pPr>
      <w:r w:rsidRPr="004D0562">
        <w:rPr>
          <w:b/>
          <w:bCs/>
        </w:rPr>
        <w:t>Impatti fiscali e previdenziali</w:t>
      </w:r>
    </w:p>
    <w:p w14:paraId="77F43B66" w14:textId="2EFBBC7B" w:rsidR="004D0562" w:rsidRPr="004D0562" w:rsidRDefault="004D0562" w:rsidP="004D0562">
      <w:pPr>
        <w:jc w:val="both"/>
      </w:pPr>
      <w:r w:rsidRPr="004D0562">
        <w:t>L'Agenzia delle Entrate ha chiarito che i nuovi codici ATECO devono essere utilizzati per tutte le dichiarazioni fiscali e gli adempimenti a partire dal 1° aprile 2025. Tuttavia, l'Agenzia non procede all'aggiornamento automatico dei codici per le imprese già registrate: chi rientra nel regime ordinario o semplificato deve, se necessario, aggiornare il proprio codice mediante Comunicazione Unica.</w:t>
      </w:r>
      <w:r w:rsidR="00D3215B">
        <w:t xml:space="preserve"> </w:t>
      </w:r>
      <w:r w:rsidRPr="004D0562">
        <w:t>È in corso anche la revisione degli Indici Sintetici di Affidabilità (ISA) per riflettere la nuova classificazione, con particolare attenzione al settore del commercio.</w:t>
      </w:r>
    </w:p>
    <w:p w14:paraId="6F979D81" w14:textId="3476DD2C" w:rsidR="004D0562" w:rsidRPr="004D0562" w:rsidRDefault="004D0562" w:rsidP="004D0562">
      <w:pPr>
        <w:jc w:val="both"/>
        <w:rPr>
          <w:b/>
          <w:bCs/>
        </w:rPr>
      </w:pPr>
      <w:r w:rsidRPr="004D0562">
        <w:rPr>
          <w:b/>
          <w:bCs/>
        </w:rPr>
        <w:t>Il regime forfettario: coefficienti in attesa di aggiornamento</w:t>
      </w:r>
    </w:p>
    <w:p w14:paraId="226155E0" w14:textId="77777777" w:rsidR="002D795E" w:rsidRDefault="002D795E" w:rsidP="002D795E">
      <w:pPr>
        <w:jc w:val="both"/>
      </w:pPr>
      <w:r w:rsidRPr="002D795E">
        <w:rPr>
          <w:highlight w:val="yellow"/>
        </w:rPr>
        <w:t>Una questione particolarmente delicata riguarda i coefficienti di redditività per il regime forfettario. Come confermato dal decreto correttivo</w:t>
      </w:r>
      <w:r w:rsidRPr="002D795E">
        <w:rPr>
          <w:rFonts w:ascii="Cambria Math" w:hAnsi="Cambria Math" w:cs="Cambria Math"/>
          <w:highlight w:val="yellow"/>
        </w:rPr>
        <w:t>‑</w:t>
      </w:r>
      <w:r w:rsidRPr="002D795E">
        <w:rPr>
          <w:highlight w:val="yellow"/>
        </w:rPr>
        <w:t>bis, approvato definitivamente il 4 giugno 2025, fino all</w:t>
      </w:r>
      <w:r w:rsidRPr="002D795E">
        <w:rPr>
          <w:rFonts w:ascii="Aptos" w:hAnsi="Aptos" w:cs="Aptos"/>
          <w:highlight w:val="yellow"/>
        </w:rPr>
        <w:t>’</w:t>
      </w:r>
      <w:r w:rsidRPr="002D795E">
        <w:rPr>
          <w:highlight w:val="yellow"/>
        </w:rPr>
        <w:t>aggiornamento ufficiale della tabella dei coefficienti</w:t>
      </w:r>
      <w:r w:rsidRPr="002D795E">
        <w:rPr>
          <w:highlight w:val="yellow"/>
        </w:rPr>
        <w:t xml:space="preserve">, </w:t>
      </w:r>
      <w:r w:rsidRPr="002D795E">
        <w:rPr>
          <w:highlight w:val="yellow"/>
        </w:rPr>
        <w:t>necessario in ragione dell</w:t>
      </w:r>
      <w:r w:rsidRPr="002D795E">
        <w:rPr>
          <w:rFonts w:ascii="Aptos" w:hAnsi="Aptos" w:cs="Aptos"/>
          <w:highlight w:val="yellow"/>
        </w:rPr>
        <w:t>’</w:t>
      </w:r>
      <w:r w:rsidRPr="002D795E">
        <w:rPr>
          <w:highlight w:val="yellow"/>
        </w:rPr>
        <w:t>entrata in vigore della nuova classificazione ISTAT (da aprile 2025)</w:t>
      </w:r>
      <w:r w:rsidRPr="002D795E">
        <w:rPr>
          <w:highlight w:val="yellow"/>
        </w:rPr>
        <w:t xml:space="preserve">, </w:t>
      </w:r>
      <w:r w:rsidRPr="002D795E">
        <w:rPr>
          <w:b/>
          <w:bCs/>
          <w:highlight w:val="yellow"/>
        </w:rPr>
        <w:t>continueranno ad applicarsi quelli previsti dalla legge</w:t>
      </w:r>
      <w:r w:rsidRPr="002D795E">
        <w:rPr>
          <w:rFonts w:ascii="Arial" w:hAnsi="Arial" w:cs="Arial"/>
          <w:b/>
          <w:bCs/>
          <w:highlight w:val="yellow"/>
        </w:rPr>
        <w:t> </w:t>
      </w:r>
      <w:r w:rsidRPr="002D795E">
        <w:rPr>
          <w:b/>
          <w:bCs/>
          <w:highlight w:val="yellow"/>
        </w:rPr>
        <w:t>145/2018</w:t>
      </w:r>
      <w:r w:rsidRPr="002D795E">
        <w:rPr>
          <w:highlight w:val="yellow"/>
        </w:rPr>
        <w:t>, basati sulla precedente classificazione ATECO</w:t>
      </w:r>
      <w:r w:rsidRPr="002D795E">
        <w:rPr>
          <w:highlight w:val="yellow"/>
        </w:rPr>
        <w:t>.</w:t>
      </w:r>
    </w:p>
    <w:p w14:paraId="720F078A" w14:textId="5E0C8BF0" w:rsidR="004D0562" w:rsidRPr="004D0562" w:rsidRDefault="004D0562" w:rsidP="002D795E">
      <w:pPr>
        <w:jc w:val="both"/>
      </w:pPr>
      <w:r w:rsidRPr="004D0562">
        <w:t>I coefficienti attualmente in vigore sono:</w:t>
      </w:r>
    </w:p>
    <w:p w14:paraId="45A14027" w14:textId="77777777" w:rsidR="004D0562" w:rsidRPr="004D0562" w:rsidRDefault="004D0562" w:rsidP="004D0562">
      <w:pPr>
        <w:numPr>
          <w:ilvl w:val="0"/>
          <w:numId w:val="4"/>
        </w:numPr>
        <w:jc w:val="both"/>
      </w:pPr>
      <w:r w:rsidRPr="004D0562">
        <w:rPr>
          <w:b/>
          <w:bCs/>
        </w:rPr>
        <w:t>40%</w:t>
      </w:r>
      <w:r w:rsidRPr="004D0562">
        <w:t>: Commercio, alloggio, ristorazione</w:t>
      </w:r>
    </w:p>
    <w:p w14:paraId="5626FE4B" w14:textId="77777777" w:rsidR="004D0562" w:rsidRPr="004D0562" w:rsidRDefault="004D0562" w:rsidP="004D0562">
      <w:pPr>
        <w:numPr>
          <w:ilvl w:val="0"/>
          <w:numId w:val="4"/>
        </w:numPr>
        <w:jc w:val="both"/>
      </w:pPr>
      <w:r w:rsidRPr="004D0562">
        <w:rPr>
          <w:b/>
          <w:bCs/>
        </w:rPr>
        <w:t>54%</w:t>
      </w:r>
      <w:r w:rsidRPr="004D0562">
        <w:t>: Commercio ambulante (esclusi alimentari e bevande)</w:t>
      </w:r>
    </w:p>
    <w:p w14:paraId="30F67331" w14:textId="77777777" w:rsidR="004D0562" w:rsidRPr="004D0562" w:rsidRDefault="004D0562" w:rsidP="004D0562">
      <w:pPr>
        <w:numPr>
          <w:ilvl w:val="0"/>
          <w:numId w:val="4"/>
        </w:numPr>
        <w:jc w:val="both"/>
      </w:pPr>
      <w:r w:rsidRPr="004D0562">
        <w:rPr>
          <w:b/>
          <w:bCs/>
        </w:rPr>
        <w:lastRenderedPageBreak/>
        <w:t>62%</w:t>
      </w:r>
      <w:r w:rsidRPr="004D0562">
        <w:t>: Intermediari del commercio</w:t>
      </w:r>
    </w:p>
    <w:p w14:paraId="79ADE082" w14:textId="77777777" w:rsidR="004D0562" w:rsidRPr="004D0562" w:rsidRDefault="004D0562" w:rsidP="004D0562">
      <w:pPr>
        <w:numPr>
          <w:ilvl w:val="0"/>
          <w:numId w:val="4"/>
        </w:numPr>
        <w:jc w:val="both"/>
      </w:pPr>
      <w:r w:rsidRPr="004D0562">
        <w:rPr>
          <w:b/>
          <w:bCs/>
        </w:rPr>
        <w:t>67%</w:t>
      </w:r>
      <w:r w:rsidRPr="004D0562">
        <w:t>: Altre attività economiche</w:t>
      </w:r>
    </w:p>
    <w:p w14:paraId="1E8AE6E5" w14:textId="77777777" w:rsidR="004D0562" w:rsidRPr="004D0562" w:rsidRDefault="004D0562" w:rsidP="004D0562">
      <w:pPr>
        <w:numPr>
          <w:ilvl w:val="0"/>
          <w:numId w:val="4"/>
        </w:numPr>
        <w:jc w:val="both"/>
      </w:pPr>
      <w:r w:rsidRPr="004D0562">
        <w:rPr>
          <w:b/>
          <w:bCs/>
        </w:rPr>
        <w:t>78%</w:t>
      </w:r>
      <w:r w:rsidRPr="004D0562">
        <w:t>: Attività professionali, scientifiche, tecniche, sanitarie, di istruzione, servizi finanziari e assicurativi</w:t>
      </w:r>
    </w:p>
    <w:p w14:paraId="51C8A8D8" w14:textId="77777777" w:rsidR="004D0562" w:rsidRPr="004D0562" w:rsidRDefault="004D0562" w:rsidP="004D0562">
      <w:pPr>
        <w:numPr>
          <w:ilvl w:val="0"/>
          <w:numId w:val="4"/>
        </w:numPr>
        <w:jc w:val="both"/>
      </w:pPr>
      <w:r w:rsidRPr="004D0562">
        <w:rPr>
          <w:b/>
          <w:bCs/>
        </w:rPr>
        <w:t>86%</w:t>
      </w:r>
      <w:r w:rsidRPr="004D0562">
        <w:t>: Costruzioni e attività immobiliari</w:t>
      </w:r>
    </w:p>
    <w:p w14:paraId="1A025584" w14:textId="18F5053A" w:rsidR="004D0562" w:rsidRDefault="00D310AD" w:rsidP="004D0562">
      <w:pPr>
        <w:jc w:val="both"/>
      </w:pPr>
      <w:r>
        <w:t xml:space="preserve">Ad esempio, </w:t>
      </w:r>
      <w:r w:rsidR="004D0562" w:rsidRPr="004D0562">
        <w:t xml:space="preserve">gli influencer (73.11.03), </w:t>
      </w:r>
      <w:r>
        <w:t xml:space="preserve">applicheranno </w:t>
      </w:r>
      <w:r w:rsidR="004D0562" w:rsidRPr="004D0562">
        <w:t xml:space="preserve">il coefficiente del </w:t>
      </w:r>
      <w:r w:rsidR="004D0562" w:rsidRPr="004D0562">
        <w:rPr>
          <w:b/>
          <w:bCs/>
        </w:rPr>
        <w:t>78%</w:t>
      </w:r>
      <w:r w:rsidR="004D0562" w:rsidRPr="004D0562">
        <w:t>, rientrando nella categoria delle attività professionali</w:t>
      </w:r>
      <w:r w:rsidR="00332BFF">
        <w:t>.</w:t>
      </w:r>
    </w:p>
    <w:p w14:paraId="5495E956" w14:textId="77777777" w:rsidR="00230624" w:rsidRPr="004D0562" w:rsidRDefault="00230624" w:rsidP="00230624">
      <w:pPr>
        <w:jc w:val="both"/>
      </w:pPr>
      <w:r w:rsidRPr="004D0562">
        <w:t>Una delle modifiche più significative, anche se meno evidente, riguarda il commercio al dettaglio. La nuova classificazione elimina il criterio del canale di vendita (sede fissa vs. online) a favore di una classificazione basata sul tipo di prodotto venduto.</w:t>
      </w:r>
    </w:p>
    <w:p w14:paraId="0B7374A8" w14:textId="43E7A852" w:rsidR="00CA6FBF" w:rsidRDefault="00332BFF" w:rsidP="004D0562">
      <w:pPr>
        <w:jc w:val="both"/>
      </w:pPr>
      <w:r>
        <w:t xml:space="preserve">È opportuno notare che, laddove </w:t>
      </w:r>
      <w:r w:rsidR="00FF700A">
        <w:t>il cambio di ATECO comportasse un cambio di settore</w:t>
      </w:r>
      <w:r w:rsidR="00076AB3">
        <w:t xml:space="preserve">, si assisterebbe ad un conseguente cambio di </w:t>
      </w:r>
      <w:r w:rsidR="003A041D">
        <w:t>coefficiente</w:t>
      </w:r>
      <w:r w:rsidR="00CA6FBF">
        <w:t>, come mostrato dalla tabella</w:t>
      </w:r>
    </w:p>
    <w:p w14:paraId="14CC2FFD" w14:textId="77777777" w:rsidR="0044654E" w:rsidRDefault="0044654E" w:rsidP="0044654E">
      <w:pPr>
        <w:keepNext/>
        <w:jc w:val="both"/>
      </w:pPr>
      <w:r>
        <w:rPr>
          <w:noProof/>
        </w:rPr>
        <w:lastRenderedPageBreak/>
        <w:drawing>
          <wp:inline distT="0" distB="0" distL="0" distR="0" wp14:anchorId="4625C843" wp14:editId="22F6F211">
            <wp:extent cx="6120765" cy="5675630"/>
            <wp:effectExtent l="0" t="0" r="0" b="1270"/>
            <wp:docPr id="19185756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765" cy="5675630"/>
                    </a:xfrm>
                    <a:prstGeom prst="rect">
                      <a:avLst/>
                    </a:prstGeom>
                    <a:noFill/>
                  </pic:spPr>
                </pic:pic>
              </a:graphicData>
            </a:graphic>
          </wp:inline>
        </w:drawing>
      </w:r>
    </w:p>
    <w:p w14:paraId="5BE84DBD" w14:textId="10DA6D9A" w:rsidR="00CA6FBF" w:rsidRDefault="0044654E" w:rsidP="0044654E">
      <w:pPr>
        <w:pStyle w:val="Didascalia"/>
        <w:jc w:val="both"/>
      </w:pPr>
      <w:r>
        <w:t xml:space="preserve">Figura </w:t>
      </w:r>
      <w:fldSimple w:instr=" SEQ Figura \* ARABIC ">
        <w:r>
          <w:rPr>
            <w:noProof/>
          </w:rPr>
          <w:t>3</w:t>
        </w:r>
      </w:fldSimple>
      <w:r>
        <w:t>: I codici ATECO la cui conversione porterebbe ad una variazione di aliquota</w:t>
      </w:r>
    </w:p>
    <w:p w14:paraId="041498C3" w14:textId="37525FE8" w:rsidR="003A041D" w:rsidRDefault="00622B5C" w:rsidP="004D0562">
      <w:pPr>
        <w:jc w:val="both"/>
      </w:pPr>
      <w:r w:rsidRPr="00622B5C">
        <w:t>Tuttavia, è importante sottolineare che, secondo le disposizioni attuali, fino all'approvazione di una nuova tabella dei coefficienti di redditività, continuano ad applicarsi quelli previsti dalla tabella allegata alla Legge 190/2014, come sostituita dalla Legge 145/2018.</w:t>
      </w:r>
    </w:p>
    <w:p w14:paraId="5B812B6D" w14:textId="77777777" w:rsidR="004D0562" w:rsidRPr="004D0562" w:rsidRDefault="004D0562" w:rsidP="004D0562">
      <w:pPr>
        <w:jc w:val="both"/>
        <w:rPr>
          <w:b/>
          <w:bCs/>
        </w:rPr>
      </w:pPr>
      <w:r w:rsidRPr="004D0562">
        <w:rPr>
          <w:b/>
          <w:bCs/>
        </w:rPr>
        <w:t>Prospettive future</w:t>
      </w:r>
    </w:p>
    <w:p w14:paraId="161496C1" w14:textId="77777777" w:rsidR="004D0562" w:rsidRPr="004D0562" w:rsidRDefault="004D0562" w:rsidP="004D0562">
      <w:pPr>
        <w:jc w:val="both"/>
      </w:pPr>
      <w:r w:rsidRPr="004D0562">
        <w:t>L'introduzione di ATECO 2025 rappresenta solo il primo passo di un processo di modernizzazione che dovrà necessariamente evolversi per tenere il passo con le trasformazioni economiche e tecnologiche.</w:t>
      </w:r>
    </w:p>
    <w:p w14:paraId="2EE8392A" w14:textId="77777777" w:rsidR="004D0562" w:rsidRPr="004D0562" w:rsidRDefault="004D0562" w:rsidP="004D0562">
      <w:pPr>
        <w:jc w:val="both"/>
      </w:pPr>
      <w:r w:rsidRPr="004D0562">
        <w:t>Nei prossimi mesi si attende:</w:t>
      </w:r>
    </w:p>
    <w:p w14:paraId="1DE5CBF0" w14:textId="77777777" w:rsidR="004D0562" w:rsidRPr="004D0562" w:rsidRDefault="004D0562" w:rsidP="004D0562">
      <w:pPr>
        <w:numPr>
          <w:ilvl w:val="0"/>
          <w:numId w:val="6"/>
        </w:numPr>
        <w:jc w:val="both"/>
      </w:pPr>
      <w:r w:rsidRPr="004D0562">
        <w:t>L'aggiornamento dei coefficienti di redditività per il regime forfettario</w:t>
      </w:r>
    </w:p>
    <w:p w14:paraId="13CD7B33" w14:textId="77777777" w:rsidR="004D0562" w:rsidRPr="004D0562" w:rsidRDefault="004D0562" w:rsidP="004D0562">
      <w:pPr>
        <w:numPr>
          <w:ilvl w:val="0"/>
          <w:numId w:val="6"/>
        </w:numPr>
        <w:jc w:val="both"/>
      </w:pPr>
      <w:r w:rsidRPr="004D0562">
        <w:t>La definizione di linee guida più dettagliate per i settori innovativi</w:t>
      </w:r>
    </w:p>
    <w:p w14:paraId="4CFC122B" w14:textId="77777777" w:rsidR="004D0562" w:rsidRPr="004D0562" w:rsidRDefault="004D0562" w:rsidP="004D0562">
      <w:pPr>
        <w:numPr>
          <w:ilvl w:val="0"/>
          <w:numId w:val="6"/>
        </w:numPr>
        <w:jc w:val="both"/>
      </w:pPr>
      <w:r w:rsidRPr="004D0562">
        <w:t>Possibili ulteriori precisazioni sulle attività digitali emergenti</w:t>
      </w:r>
    </w:p>
    <w:p w14:paraId="0F57BE82" w14:textId="77777777" w:rsidR="004D0562" w:rsidRPr="004D0562" w:rsidRDefault="004D0562" w:rsidP="004D0562">
      <w:pPr>
        <w:jc w:val="both"/>
        <w:rPr>
          <w:b/>
          <w:bCs/>
        </w:rPr>
      </w:pPr>
      <w:r w:rsidRPr="004D0562">
        <w:rPr>
          <w:b/>
          <w:bCs/>
        </w:rPr>
        <w:lastRenderedPageBreak/>
        <w:t>Raccomandazioni pratiche</w:t>
      </w:r>
    </w:p>
    <w:p w14:paraId="3434378D" w14:textId="77777777" w:rsidR="004D0562" w:rsidRPr="004D0562" w:rsidRDefault="004D0562" w:rsidP="004D0562">
      <w:pPr>
        <w:jc w:val="both"/>
        <w:rPr>
          <w:b/>
          <w:bCs/>
        </w:rPr>
      </w:pPr>
      <w:r w:rsidRPr="004D0562">
        <w:rPr>
          <w:b/>
          <w:bCs/>
        </w:rPr>
        <w:t>Per le imprese già attive</w:t>
      </w:r>
    </w:p>
    <w:p w14:paraId="5243EA26" w14:textId="77777777" w:rsidR="004D0562" w:rsidRPr="004D0562" w:rsidRDefault="004D0562" w:rsidP="004D0562">
      <w:pPr>
        <w:numPr>
          <w:ilvl w:val="0"/>
          <w:numId w:val="8"/>
        </w:numPr>
        <w:jc w:val="both"/>
      </w:pPr>
      <w:r w:rsidRPr="004D0562">
        <w:rPr>
          <w:b/>
          <w:bCs/>
        </w:rPr>
        <w:t>Verificare il nuovo codice assegnato</w:t>
      </w:r>
      <w:r w:rsidRPr="004D0562">
        <w:t xml:space="preserve"> attraverso l'app Impresa Italia o il Cassetto Digitale</w:t>
      </w:r>
    </w:p>
    <w:p w14:paraId="127A8A0D" w14:textId="77777777" w:rsidR="004D0562" w:rsidRPr="004D0562" w:rsidRDefault="004D0562" w:rsidP="004D0562">
      <w:pPr>
        <w:numPr>
          <w:ilvl w:val="0"/>
          <w:numId w:val="8"/>
        </w:numPr>
        <w:jc w:val="both"/>
      </w:pPr>
      <w:r w:rsidRPr="004D0562">
        <w:rPr>
          <w:b/>
          <w:bCs/>
        </w:rPr>
        <w:t>Valutare la congruità</w:t>
      </w:r>
      <w:r w:rsidRPr="004D0562">
        <w:t xml:space="preserve"> del codice rispetto all'attività effettivamente svolta</w:t>
      </w:r>
    </w:p>
    <w:p w14:paraId="020ECAD3" w14:textId="77777777" w:rsidR="004D0562" w:rsidRPr="004D0562" w:rsidRDefault="004D0562" w:rsidP="004D0562">
      <w:pPr>
        <w:numPr>
          <w:ilvl w:val="0"/>
          <w:numId w:val="8"/>
        </w:numPr>
        <w:jc w:val="both"/>
      </w:pPr>
      <w:r w:rsidRPr="004D0562">
        <w:rPr>
          <w:b/>
          <w:bCs/>
        </w:rPr>
        <w:t>Utilizzare il portale di modifica</w:t>
      </w:r>
      <w:r w:rsidRPr="004D0562">
        <w:t xml:space="preserve"> se necessaria una correzione</w:t>
      </w:r>
    </w:p>
    <w:p w14:paraId="0C87B9AD" w14:textId="13514F9F" w:rsidR="004D0562" w:rsidRPr="004D0562" w:rsidRDefault="004D0562" w:rsidP="004D0562">
      <w:pPr>
        <w:numPr>
          <w:ilvl w:val="0"/>
          <w:numId w:val="8"/>
        </w:numPr>
        <w:jc w:val="both"/>
      </w:pPr>
      <w:r w:rsidRPr="004D0562">
        <w:rPr>
          <w:b/>
          <w:bCs/>
        </w:rPr>
        <w:t xml:space="preserve">Consultare </w:t>
      </w:r>
      <w:r w:rsidR="00F027E9">
        <w:rPr>
          <w:b/>
          <w:bCs/>
        </w:rPr>
        <w:t xml:space="preserve">il proprio professionista </w:t>
      </w:r>
      <w:r w:rsidRPr="004D0562">
        <w:t>per valutare impatti fiscali e previdenziali</w:t>
      </w:r>
    </w:p>
    <w:p w14:paraId="4DEADE18" w14:textId="77777777" w:rsidR="004D0562" w:rsidRPr="004D0562" w:rsidRDefault="004D0562" w:rsidP="004D0562">
      <w:pPr>
        <w:jc w:val="both"/>
        <w:rPr>
          <w:b/>
          <w:bCs/>
        </w:rPr>
      </w:pPr>
      <w:r w:rsidRPr="004D0562">
        <w:rPr>
          <w:b/>
          <w:bCs/>
        </w:rPr>
        <w:t>Per nuove attività</w:t>
      </w:r>
    </w:p>
    <w:p w14:paraId="46570AB0" w14:textId="77777777" w:rsidR="004D0562" w:rsidRPr="004D0562" w:rsidRDefault="004D0562" w:rsidP="004D0562">
      <w:pPr>
        <w:numPr>
          <w:ilvl w:val="0"/>
          <w:numId w:val="9"/>
        </w:numPr>
        <w:jc w:val="both"/>
      </w:pPr>
      <w:r w:rsidRPr="004D0562">
        <w:rPr>
          <w:b/>
          <w:bCs/>
        </w:rPr>
        <w:t>Studiare attentamente la nuova classificazione</w:t>
      </w:r>
      <w:r w:rsidRPr="004D0562">
        <w:t xml:space="preserve"> prima dell'apertura della partita IVA</w:t>
      </w:r>
    </w:p>
    <w:p w14:paraId="1441D38A" w14:textId="77777777" w:rsidR="004D0562" w:rsidRPr="004D0562" w:rsidRDefault="004D0562" w:rsidP="004D0562">
      <w:pPr>
        <w:numPr>
          <w:ilvl w:val="0"/>
          <w:numId w:val="9"/>
        </w:numPr>
        <w:jc w:val="both"/>
      </w:pPr>
      <w:r w:rsidRPr="004D0562">
        <w:rPr>
          <w:b/>
          <w:bCs/>
        </w:rPr>
        <w:t>Considerare l'impatto sui coefficienti di redditività</w:t>
      </w:r>
      <w:r w:rsidRPr="004D0562">
        <w:t xml:space="preserve"> per le attività forfettarie</w:t>
      </w:r>
    </w:p>
    <w:p w14:paraId="3C5D0131" w14:textId="77777777" w:rsidR="004D0562" w:rsidRPr="004D0562" w:rsidRDefault="004D0562" w:rsidP="004D0562">
      <w:pPr>
        <w:numPr>
          <w:ilvl w:val="0"/>
          <w:numId w:val="9"/>
        </w:numPr>
        <w:jc w:val="both"/>
      </w:pPr>
      <w:r w:rsidRPr="004D0562">
        <w:rPr>
          <w:b/>
          <w:bCs/>
        </w:rPr>
        <w:t>Valutare l'iscrizione a casse previdenziali specifiche</w:t>
      </w:r>
      <w:r w:rsidRPr="004D0562">
        <w:t xml:space="preserve"> dove richiesto</w:t>
      </w:r>
    </w:p>
    <w:p w14:paraId="57038725" w14:textId="77777777" w:rsidR="004D0562" w:rsidRPr="004D0562" w:rsidRDefault="004D0562" w:rsidP="004D0562">
      <w:pPr>
        <w:jc w:val="both"/>
        <w:rPr>
          <w:b/>
          <w:bCs/>
        </w:rPr>
      </w:pPr>
      <w:r w:rsidRPr="004D0562">
        <w:rPr>
          <w:b/>
          <w:bCs/>
        </w:rPr>
        <w:t>Conclusioni</w:t>
      </w:r>
    </w:p>
    <w:p w14:paraId="59B4A7A7" w14:textId="77777777" w:rsidR="00A03775" w:rsidRDefault="00A03775" w:rsidP="00A03775">
      <w:pPr>
        <w:jc w:val="both"/>
      </w:pPr>
      <w:r>
        <w:t>La revisione ATECO 2025 costituisce un'evoluzione strategicamente rilevante nel processo di aggiornamento del sistema di classificazione delle attività economiche in Italia. Essa non solo conserva l'impianto concettuale e metodologico del modello preesistente, garantendone la continuità operativa e normativa, ma introduce anche una struttura più articolata e aderente alle dinamiche dell'economia post-industriale, con particolare attenzione all'emersione di nuovi settori e alla trasformazione digitale.</w:t>
      </w:r>
    </w:p>
    <w:p w14:paraId="2B7A5E00" w14:textId="07F84B76" w:rsidR="00F27332" w:rsidRPr="004D0562" w:rsidRDefault="00A03775" w:rsidP="00A03775">
      <w:pPr>
        <w:jc w:val="both"/>
      </w:pPr>
      <w:r>
        <w:t>Sebbene l'adozione di un nuovo standard classificatorio comporti inevitabilmente oneri di adeguamento e criticità operative, tale transizione si configura come una necessità sistemica per assicurare la coerenza dei dati statistici, l'efficienza delle politiche pubbliche e l'allineamento con gli standard internazionali. In questo scenario, strumenti come TROVA ATECO 2024 del Sole 24 Ore rappresentano un supporto prezioso, concepito per agevolare l'identificazione puntuale delle corrispondenze tra le vecchie e nuove codifiche, mitigando gli impatti organizzativi per professionisti e imprese.</w:t>
      </w:r>
    </w:p>
    <w:sectPr w:rsidR="00F27332" w:rsidRPr="004D056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B7AE8"/>
    <w:multiLevelType w:val="multilevel"/>
    <w:tmpl w:val="ED74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72BD3"/>
    <w:multiLevelType w:val="multilevel"/>
    <w:tmpl w:val="0FB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54B41"/>
    <w:multiLevelType w:val="multilevel"/>
    <w:tmpl w:val="7108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67EA5"/>
    <w:multiLevelType w:val="multilevel"/>
    <w:tmpl w:val="8DA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24A3F"/>
    <w:multiLevelType w:val="multilevel"/>
    <w:tmpl w:val="51C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4439B"/>
    <w:multiLevelType w:val="multilevel"/>
    <w:tmpl w:val="AFB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E0AAE"/>
    <w:multiLevelType w:val="multilevel"/>
    <w:tmpl w:val="E7DE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A6619"/>
    <w:multiLevelType w:val="hybridMultilevel"/>
    <w:tmpl w:val="127C6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BEF75F8"/>
    <w:multiLevelType w:val="multilevel"/>
    <w:tmpl w:val="18F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2229D"/>
    <w:multiLevelType w:val="multilevel"/>
    <w:tmpl w:val="374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044627">
    <w:abstractNumId w:val="9"/>
  </w:num>
  <w:num w:numId="2" w16cid:durableId="1433354943">
    <w:abstractNumId w:val="3"/>
  </w:num>
  <w:num w:numId="3" w16cid:durableId="750540367">
    <w:abstractNumId w:val="8"/>
  </w:num>
  <w:num w:numId="4" w16cid:durableId="721907758">
    <w:abstractNumId w:val="4"/>
  </w:num>
  <w:num w:numId="5" w16cid:durableId="1323578949">
    <w:abstractNumId w:val="5"/>
  </w:num>
  <w:num w:numId="6" w16cid:durableId="61686330">
    <w:abstractNumId w:val="1"/>
  </w:num>
  <w:num w:numId="7" w16cid:durableId="351077356">
    <w:abstractNumId w:val="6"/>
  </w:num>
  <w:num w:numId="8" w16cid:durableId="1527601306">
    <w:abstractNumId w:val="0"/>
  </w:num>
  <w:num w:numId="9" w16cid:durableId="1759055699">
    <w:abstractNumId w:val="2"/>
  </w:num>
  <w:num w:numId="10" w16cid:durableId="229509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E1"/>
    <w:rsid w:val="00002A58"/>
    <w:rsid w:val="00012F1B"/>
    <w:rsid w:val="00013BAF"/>
    <w:rsid w:val="000222DF"/>
    <w:rsid w:val="000302DE"/>
    <w:rsid w:val="00030D00"/>
    <w:rsid w:val="000344A0"/>
    <w:rsid w:val="00035228"/>
    <w:rsid w:val="000530EB"/>
    <w:rsid w:val="00056F5C"/>
    <w:rsid w:val="000574E9"/>
    <w:rsid w:val="00061848"/>
    <w:rsid w:val="00066DF9"/>
    <w:rsid w:val="00066F26"/>
    <w:rsid w:val="00076717"/>
    <w:rsid w:val="00076AB3"/>
    <w:rsid w:val="00085672"/>
    <w:rsid w:val="00094C65"/>
    <w:rsid w:val="000A0A7E"/>
    <w:rsid w:val="000B3536"/>
    <w:rsid w:val="000B48D6"/>
    <w:rsid w:val="000C092A"/>
    <w:rsid w:val="000C2D2B"/>
    <w:rsid w:val="000C3210"/>
    <w:rsid w:val="000C3686"/>
    <w:rsid w:val="000D1AC5"/>
    <w:rsid w:val="000D3D14"/>
    <w:rsid w:val="000D63BA"/>
    <w:rsid w:val="000D674A"/>
    <w:rsid w:val="000E5442"/>
    <w:rsid w:val="000E5FA2"/>
    <w:rsid w:val="000F0484"/>
    <w:rsid w:val="000F1BD6"/>
    <w:rsid w:val="000F7710"/>
    <w:rsid w:val="00105D5C"/>
    <w:rsid w:val="00107F1F"/>
    <w:rsid w:val="00110AC4"/>
    <w:rsid w:val="00116262"/>
    <w:rsid w:val="00127282"/>
    <w:rsid w:val="001329AD"/>
    <w:rsid w:val="00146DC7"/>
    <w:rsid w:val="00160150"/>
    <w:rsid w:val="001614C6"/>
    <w:rsid w:val="00162737"/>
    <w:rsid w:val="001663C2"/>
    <w:rsid w:val="0016722A"/>
    <w:rsid w:val="001678F1"/>
    <w:rsid w:val="001734F3"/>
    <w:rsid w:val="00180A94"/>
    <w:rsid w:val="001A70CC"/>
    <w:rsid w:val="001B5270"/>
    <w:rsid w:val="001C2685"/>
    <w:rsid w:val="001C2EC3"/>
    <w:rsid w:val="001C4C3E"/>
    <w:rsid w:val="001C6D1B"/>
    <w:rsid w:val="001D1CE5"/>
    <w:rsid w:val="001E6F9D"/>
    <w:rsid w:val="001F1FEE"/>
    <w:rsid w:val="001F5286"/>
    <w:rsid w:val="002031F7"/>
    <w:rsid w:val="0020588E"/>
    <w:rsid w:val="002111CC"/>
    <w:rsid w:val="00211AC7"/>
    <w:rsid w:val="00213B75"/>
    <w:rsid w:val="00230624"/>
    <w:rsid w:val="00232BCB"/>
    <w:rsid w:val="00237392"/>
    <w:rsid w:val="00241EF7"/>
    <w:rsid w:val="00245A50"/>
    <w:rsid w:val="00251B69"/>
    <w:rsid w:val="002538C8"/>
    <w:rsid w:val="00257179"/>
    <w:rsid w:val="0026265C"/>
    <w:rsid w:val="002667D6"/>
    <w:rsid w:val="0027381F"/>
    <w:rsid w:val="00285B03"/>
    <w:rsid w:val="00285BAE"/>
    <w:rsid w:val="0028653C"/>
    <w:rsid w:val="00286BDF"/>
    <w:rsid w:val="002937B0"/>
    <w:rsid w:val="002A2B5B"/>
    <w:rsid w:val="002B244E"/>
    <w:rsid w:val="002B3DCD"/>
    <w:rsid w:val="002C21FA"/>
    <w:rsid w:val="002C37F4"/>
    <w:rsid w:val="002D4A44"/>
    <w:rsid w:val="002D795E"/>
    <w:rsid w:val="002E04FE"/>
    <w:rsid w:val="002E0BD9"/>
    <w:rsid w:val="002E2233"/>
    <w:rsid w:val="002F1DA3"/>
    <w:rsid w:val="002F4CCE"/>
    <w:rsid w:val="002F5353"/>
    <w:rsid w:val="00302D76"/>
    <w:rsid w:val="00306DF3"/>
    <w:rsid w:val="00313704"/>
    <w:rsid w:val="003203B6"/>
    <w:rsid w:val="003271CE"/>
    <w:rsid w:val="00332BFF"/>
    <w:rsid w:val="00337846"/>
    <w:rsid w:val="0034086E"/>
    <w:rsid w:val="00345D19"/>
    <w:rsid w:val="003465DA"/>
    <w:rsid w:val="0035212F"/>
    <w:rsid w:val="003526EE"/>
    <w:rsid w:val="0036204F"/>
    <w:rsid w:val="00365B81"/>
    <w:rsid w:val="00373E90"/>
    <w:rsid w:val="0038109A"/>
    <w:rsid w:val="0038142C"/>
    <w:rsid w:val="00387191"/>
    <w:rsid w:val="003906D9"/>
    <w:rsid w:val="00396A84"/>
    <w:rsid w:val="003A0375"/>
    <w:rsid w:val="003A041D"/>
    <w:rsid w:val="003A4AAA"/>
    <w:rsid w:val="003B4A68"/>
    <w:rsid w:val="003B4FDB"/>
    <w:rsid w:val="003B617A"/>
    <w:rsid w:val="003C1E4E"/>
    <w:rsid w:val="003C60ED"/>
    <w:rsid w:val="003D0568"/>
    <w:rsid w:val="003D764A"/>
    <w:rsid w:val="003F044C"/>
    <w:rsid w:val="00404067"/>
    <w:rsid w:val="00404F29"/>
    <w:rsid w:val="0040561A"/>
    <w:rsid w:val="00405DF8"/>
    <w:rsid w:val="00407F20"/>
    <w:rsid w:val="00420641"/>
    <w:rsid w:val="00420BA6"/>
    <w:rsid w:val="00422662"/>
    <w:rsid w:val="00423BD5"/>
    <w:rsid w:val="00425C27"/>
    <w:rsid w:val="00426F8C"/>
    <w:rsid w:val="0042761C"/>
    <w:rsid w:val="00431126"/>
    <w:rsid w:val="00431403"/>
    <w:rsid w:val="00436C9A"/>
    <w:rsid w:val="0044654E"/>
    <w:rsid w:val="00447C5C"/>
    <w:rsid w:val="00456966"/>
    <w:rsid w:val="0046052B"/>
    <w:rsid w:val="00460D10"/>
    <w:rsid w:val="00464545"/>
    <w:rsid w:val="00481AB7"/>
    <w:rsid w:val="00485379"/>
    <w:rsid w:val="00492E0E"/>
    <w:rsid w:val="004A1716"/>
    <w:rsid w:val="004A1AFA"/>
    <w:rsid w:val="004A5CB5"/>
    <w:rsid w:val="004A6F07"/>
    <w:rsid w:val="004B372A"/>
    <w:rsid w:val="004B4CBA"/>
    <w:rsid w:val="004B7E30"/>
    <w:rsid w:val="004C23EB"/>
    <w:rsid w:val="004C3105"/>
    <w:rsid w:val="004C390A"/>
    <w:rsid w:val="004C7076"/>
    <w:rsid w:val="004D0562"/>
    <w:rsid w:val="004D22D5"/>
    <w:rsid w:val="004E3D74"/>
    <w:rsid w:val="004F0E29"/>
    <w:rsid w:val="004F30E4"/>
    <w:rsid w:val="004F6C51"/>
    <w:rsid w:val="0050425F"/>
    <w:rsid w:val="005063E4"/>
    <w:rsid w:val="005133FF"/>
    <w:rsid w:val="00515584"/>
    <w:rsid w:val="00515D8E"/>
    <w:rsid w:val="00523648"/>
    <w:rsid w:val="005243C8"/>
    <w:rsid w:val="00526816"/>
    <w:rsid w:val="00530E1D"/>
    <w:rsid w:val="00532D65"/>
    <w:rsid w:val="0053757C"/>
    <w:rsid w:val="00541C28"/>
    <w:rsid w:val="00546FA1"/>
    <w:rsid w:val="00554A38"/>
    <w:rsid w:val="005600B0"/>
    <w:rsid w:val="005628F9"/>
    <w:rsid w:val="0057331B"/>
    <w:rsid w:val="005746D8"/>
    <w:rsid w:val="00580DF2"/>
    <w:rsid w:val="00582DD2"/>
    <w:rsid w:val="005870BD"/>
    <w:rsid w:val="00590B54"/>
    <w:rsid w:val="00593821"/>
    <w:rsid w:val="005A2393"/>
    <w:rsid w:val="005A26C0"/>
    <w:rsid w:val="005B4F1B"/>
    <w:rsid w:val="005C2677"/>
    <w:rsid w:val="005C3977"/>
    <w:rsid w:val="005D272B"/>
    <w:rsid w:val="005D730E"/>
    <w:rsid w:val="005E3B95"/>
    <w:rsid w:val="005E44E6"/>
    <w:rsid w:val="005F1295"/>
    <w:rsid w:val="005F3738"/>
    <w:rsid w:val="00603597"/>
    <w:rsid w:val="006054F8"/>
    <w:rsid w:val="00610A6B"/>
    <w:rsid w:val="00617A1A"/>
    <w:rsid w:val="00621BBD"/>
    <w:rsid w:val="00622B5C"/>
    <w:rsid w:val="00623237"/>
    <w:rsid w:val="00623603"/>
    <w:rsid w:val="0063159D"/>
    <w:rsid w:val="006342C9"/>
    <w:rsid w:val="006579B8"/>
    <w:rsid w:val="00666F23"/>
    <w:rsid w:val="00667898"/>
    <w:rsid w:val="006709EC"/>
    <w:rsid w:val="00681075"/>
    <w:rsid w:val="006832C9"/>
    <w:rsid w:val="0068424B"/>
    <w:rsid w:val="006859A0"/>
    <w:rsid w:val="00686824"/>
    <w:rsid w:val="00687E19"/>
    <w:rsid w:val="006925BF"/>
    <w:rsid w:val="00694B2E"/>
    <w:rsid w:val="006B332D"/>
    <w:rsid w:val="006C211E"/>
    <w:rsid w:val="006C35B0"/>
    <w:rsid w:val="006E0142"/>
    <w:rsid w:val="007017B4"/>
    <w:rsid w:val="00706DC5"/>
    <w:rsid w:val="00711460"/>
    <w:rsid w:val="0071562C"/>
    <w:rsid w:val="007168F0"/>
    <w:rsid w:val="00717A89"/>
    <w:rsid w:val="0072295F"/>
    <w:rsid w:val="007268E1"/>
    <w:rsid w:val="00732889"/>
    <w:rsid w:val="00733403"/>
    <w:rsid w:val="00740A0D"/>
    <w:rsid w:val="0074506D"/>
    <w:rsid w:val="00753396"/>
    <w:rsid w:val="007566DE"/>
    <w:rsid w:val="00771CEA"/>
    <w:rsid w:val="007910B5"/>
    <w:rsid w:val="00793B6A"/>
    <w:rsid w:val="00794B8C"/>
    <w:rsid w:val="007966DB"/>
    <w:rsid w:val="00796FE5"/>
    <w:rsid w:val="007A1C57"/>
    <w:rsid w:val="007A76CF"/>
    <w:rsid w:val="007B0314"/>
    <w:rsid w:val="007C06EF"/>
    <w:rsid w:val="007C58C3"/>
    <w:rsid w:val="007C67CE"/>
    <w:rsid w:val="007D231E"/>
    <w:rsid w:val="007D710D"/>
    <w:rsid w:val="007E0C43"/>
    <w:rsid w:val="007E6242"/>
    <w:rsid w:val="00800CB1"/>
    <w:rsid w:val="00805E1E"/>
    <w:rsid w:val="0080625E"/>
    <w:rsid w:val="008120B5"/>
    <w:rsid w:val="0081282F"/>
    <w:rsid w:val="0082070D"/>
    <w:rsid w:val="00824490"/>
    <w:rsid w:val="008244DD"/>
    <w:rsid w:val="00824D9C"/>
    <w:rsid w:val="0083244F"/>
    <w:rsid w:val="008336C2"/>
    <w:rsid w:val="008449CF"/>
    <w:rsid w:val="00856DFE"/>
    <w:rsid w:val="00857001"/>
    <w:rsid w:val="00857594"/>
    <w:rsid w:val="00860E80"/>
    <w:rsid w:val="008628A7"/>
    <w:rsid w:val="0086374D"/>
    <w:rsid w:val="00867CD2"/>
    <w:rsid w:val="00871423"/>
    <w:rsid w:val="0087190F"/>
    <w:rsid w:val="00874CD3"/>
    <w:rsid w:val="00890708"/>
    <w:rsid w:val="008929E3"/>
    <w:rsid w:val="0089528A"/>
    <w:rsid w:val="008A1A46"/>
    <w:rsid w:val="008B5630"/>
    <w:rsid w:val="008C1194"/>
    <w:rsid w:val="008C6D69"/>
    <w:rsid w:val="008C7391"/>
    <w:rsid w:val="008D6506"/>
    <w:rsid w:val="008E2494"/>
    <w:rsid w:val="008E3B11"/>
    <w:rsid w:val="008E5BF5"/>
    <w:rsid w:val="008F2773"/>
    <w:rsid w:val="008F57B3"/>
    <w:rsid w:val="00924BB1"/>
    <w:rsid w:val="00925FD9"/>
    <w:rsid w:val="00933A6E"/>
    <w:rsid w:val="00934F35"/>
    <w:rsid w:val="00937132"/>
    <w:rsid w:val="00943DFC"/>
    <w:rsid w:val="00945C8D"/>
    <w:rsid w:val="0095138F"/>
    <w:rsid w:val="009519AF"/>
    <w:rsid w:val="00954769"/>
    <w:rsid w:val="00956D4B"/>
    <w:rsid w:val="00957B0A"/>
    <w:rsid w:val="00965696"/>
    <w:rsid w:val="0097119C"/>
    <w:rsid w:val="00976054"/>
    <w:rsid w:val="00981711"/>
    <w:rsid w:val="009902B3"/>
    <w:rsid w:val="00991D36"/>
    <w:rsid w:val="00993614"/>
    <w:rsid w:val="009A0C89"/>
    <w:rsid w:val="009A2BE2"/>
    <w:rsid w:val="009A3264"/>
    <w:rsid w:val="009B034B"/>
    <w:rsid w:val="009B053D"/>
    <w:rsid w:val="009B0AF4"/>
    <w:rsid w:val="009B4618"/>
    <w:rsid w:val="009C41C8"/>
    <w:rsid w:val="009C570F"/>
    <w:rsid w:val="009D461F"/>
    <w:rsid w:val="009D6F2A"/>
    <w:rsid w:val="009E2B86"/>
    <w:rsid w:val="009E63A6"/>
    <w:rsid w:val="009E75FE"/>
    <w:rsid w:val="009F19C8"/>
    <w:rsid w:val="00A01394"/>
    <w:rsid w:val="00A03775"/>
    <w:rsid w:val="00A06A34"/>
    <w:rsid w:val="00A20ED2"/>
    <w:rsid w:val="00A239C3"/>
    <w:rsid w:val="00A30E64"/>
    <w:rsid w:val="00A33776"/>
    <w:rsid w:val="00A45B28"/>
    <w:rsid w:val="00A46004"/>
    <w:rsid w:val="00A5094B"/>
    <w:rsid w:val="00A52094"/>
    <w:rsid w:val="00A60DD3"/>
    <w:rsid w:val="00A66B75"/>
    <w:rsid w:val="00A734EA"/>
    <w:rsid w:val="00A7744B"/>
    <w:rsid w:val="00A805C1"/>
    <w:rsid w:val="00A844DE"/>
    <w:rsid w:val="00A94E62"/>
    <w:rsid w:val="00AA09B7"/>
    <w:rsid w:val="00AA3104"/>
    <w:rsid w:val="00AA73B9"/>
    <w:rsid w:val="00AB20EB"/>
    <w:rsid w:val="00AB3FED"/>
    <w:rsid w:val="00AB4A11"/>
    <w:rsid w:val="00AC6643"/>
    <w:rsid w:val="00AD0101"/>
    <w:rsid w:val="00AD19CA"/>
    <w:rsid w:val="00AD4596"/>
    <w:rsid w:val="00AD5423"/>
    <w:rsid w:val="00AD6DD6"/>
    <w:rsid w:val="00AE7C30"/>
    <w:rsid w:val="00AF491F"/>
    <w:rsid w:val="00AF4C3C"/>
    <w:rsid w:val="00AF53D5"/>
    <w:rsid w:val="00B043C0"/>
    <w:rsid w:val="00B10DB3"/>
    <w:rsid w:val="00B153D5"/>
    <w:rsid w:val="00B15DC9"/>
    <w:rsid w:val="00B3216A"/>
    <w:rsid w:val="00B3785B"/>
    <w:rsid w:val="00B40411"/>
    <w:rsid w:val="00B53FE7"/>
    <w:rsid w:val="00B7558C"/>
    <w:rsid w:val="00B818F1"/>
    <w:rsid w:val="00B82D58"/>
    <w:rsid w:val="00B85146"/>
    <w:rsid w:val="00B9063E"/>
    <w:rsid w:val="00B931D2"/>
    <w:rsid w:val="00BA3DCB"/>
    <w:rsid w:val="00BA401B"/>
    <w:rsid w:val="00BA448B"/>
    <w:rsid w:val="00BA5DD8"/>
    <w:rsid w:val="00BB3E07"/>
    <w:rsid w:val="00BC34B6"/>
    <w:rsid w:val="00BC40D9"/>
    <w:rsid w:val="00BD3D1C"/>
    <w:rsid w:val="00BD60DD"/>
    <w:rsid w:val="00BD6839"/>
    <w:rsid w:val="00BE3143"/>
    <w:rsid w:val="00BF0942"/>
    <w:rsid w:val="00BF5460"/>
    <w:rsid w:val="00C063AD"/>
    <w:rsid w:val="00C1308A"/>
    <w:rsid w:val="00C246B5"/>
    <w:rsid w:val="00C27C32"/>
    <w:rsid w:val="00C45E33"/>
    <w:rsid w:val="00C46848"/>
    <w:rsid w:val="00C61A53"/>
    <w:rsid w:val="00C908D3"/>
    <w:rsid w:val="00C946B1"/>
    <w:rsid w:val="00C9515C"/>
    <w:rsid w:val="00CA0DB9"/>
    <w:rsid w:val="00CA40CB"/>
    <w:rsid w:val="00CA6FBF"/>
    <w:rsid w:val="00CB0CBF"/>
    <w:rsid w:val="00CB49CB"/>
    <w:rsid w:val="00CB7AC1"/>
    <w:rsid w:val="00CB7EE3"/>
    <w:rsid w:val="00CC5114"/>
    <w:rsid w:val="00CE07E2"/>
    <w:rsid w:val="00CE4FDA"/>
    <w:rsid w:val="00CF2280"/>
    <w:rsid w:val="00D07AF0"/>
    <w:rsid w:val="00D07BD8"/>
    <w:rsid w:val="00D11FD8"/>
    <w:rsid w:val="00D14388"/>
    <w:rsid w:val="00D14F4D"/>
    <w:rsid w:val="00D219C6"/>
    <w:rsid w:val="00D22B35"/>
    <w:rsid w:val="00D24BAB"/>
    <w:rsid w:val="00D310AD"/>
    <w:rsid w:val="00D3215B"/>
    <w:rsid w:val="00D35BEF"/>
    <w:rsid w:val="00D36F96"/>
    <w:rsid w:val="00D40F04"/>
    <w:rsid w:val="00D45F86"/>
    <w:rsid w:val="00D474F9"/>
    <w:rsid w:val="00D512DC"/>
    <w:rsid w:val="00D70901"/>
    <w:rsid w:val="00D80041"/>
    <w:rsid w:val="00D82FB6"/>
    <w:rsid w:val="00D84797"/>
    <w:rsid w:val="00D9002A"/>
    <w:rsid w:val="00DA016F"/>
    <w:rsid w:val="00DA439F"/>
    <w:rsid w:val="00DB2FBF"/>
    <w:rsid w:val="00DB6766"/>
    <w:rsid w:val="00DB71B0"/>
    <w:rsid w:val="00DC2075"/>
    <w:rsid w:val="00DC2224"/>
    <w:rsid w:val="00DC7AD1"/>
    <w:rsid w:val="00DD0C00"/>
    <w:rsid w:val="00DD1725"/>
    <w:rsid w:val="00DD3F33"/>
    <w:rsid w:val="00DD589A"/>
    <w:rsid w:val="00DD5948"/>
    <w:rsid w:val="00DD7E1E"/>
    <w:rsid w:val="00DE4E75"/>
    <w:rsid w:val="00DE5BA1"/>
    <w:rsid w:val="00E033FF"/>
    <w:rsid w:val="00E05514"/>
    <w:rsid w:val="00E05E77"/>
    <w:rsid w:val="00E06FEB"/>
    <w:rsid w:val="00E109D8"/>
    <w:rsid w:val="00E11324"/>
    <w:rsid w:val="00E37344"/>
    <w:rsid w:val="00E443FE"/>
    <w:rsid w:val="00E53794"/>
    <w:rsid w:val="00E621F1"/>
    <w:rsid w:val="00E73679"/>
    <w:rsid w:val="00E80269"/>
    <w:rsid w:val="00E80A5E"/>
    <w:rsid w:val="00E81390"/>
    <w:rsid w:val="00E8358A"/>
    <w:rsid w:val="00E85C2C"/>
    <w:rsid w:val="00E867CF"/>
    <w:rsid w:val="00E91973"/>
    <w:rsid w:val="00E93507"/>
    <w:rsid w:val="00EA3B33"/>
    <w:rsid w:val="00EA4276"/>
    <w:rsid w:val="00EB07D7"/>
    <w:rsid w:val="00EC0719"/>
    <w:rsid w:val="00EC1419"/>
    <w:rsid w:val="00ED7501"/>
    <w:rsid w:val="00EE069A"/>
    <w:rsid w:val="00EE3B24"/>
    <w:rsid w:val="00EE3F9F"/>
    <w:rsid w:val="00EF16A0"/>
    <w:rsid w:val="00EF1A81"/>
    <w:rsid w:val="00EF28AB"/>
    <w:rsid w:val="00EF2EA4"/>
    <w:rsid w:val="00F027E9"/>
    <w:rsid w:val="00F11C69"/>
    <w:rsid w:val="00F15B0F"/>
    <w:rsid w:val="00F15E95"/>
    <w:rsid w:val="00F27332"/>
    <w:rsid w:val="00F2788A"/>
    <w:rsid w:val="00F30205"/>
    <w:rsid w:val="00F33AC9"/>
    <w:rsid w:val="00F41B5B"/>
    <w:rsid w:val="00F4712A"/>
    <w:rsid w:val="00F51FA4"/>
    <w:rsid w:val="00F81C36"/>
    <w:rsid w:val="00F958BE"/>
    <w:rsid w:val="00FA06C2"/>
    <w:rsid w:val="00FA5068"/>
    <w:rsid w:val="00FA5942"/>
    <w:rsid w:val="00FB009F"/>
    <w:rsid w:val="00FB411A"/>
    <w:rsid w:val="00FB5EA4"/>
    <w:rsid w:val="00FC42BF"/>
    <w:rsid w:val="00FD0BE8"/>
    <w:rsid w:val="00FD219A"/>
    <w:rsid w:val="00FD7BE7"/>
    <w:rsid w:val="00FF1B05"/>
    <w:rsid w:val="00FF1CD7"/>
    <w:rsid w:val="00FF70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BB21"/>
  <w15:chartTrackingRefBased/>
  <w15:docId w15:val="{655945DE-A212-4AB9-8012-16BA0426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2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2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268E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268E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268E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268E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268E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268E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268E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268E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268E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268E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268E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268E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268E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268E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268E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268E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2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268E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268E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268E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268E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268E1"/>
    <w:rPr>
      <w:i/>
      <w:iCs/>
      <w:color w:val="404040" w:themeColor="text1" w:themeTint="BF"/>
    </w:rPr>
  </w:style>
  <w:style w:type="paragraph" w:styleId="Paragrafoelenco">
    <w:name w:val="List Paragraph"/>
    <w:basedOn w:val="Normale"/>
    <w:uiPriority w:val="34"/>
    <w:qFormat/>
    <w:rsid w:val="007268E1"/>
    <w:pPr>
      <w:ind w:left="720"/>
      <w:contextualSpacing/>
    </w:pPr>
  </w:style>
  <w:style w:type="character" w:styleId="Enfasiintensa">
    <w:name w:val="Intense Emphasis"/>
    <w:basedOn w:val="Carpredefinitoparagrafo"/>
    <w:uiPriority w:val="21"/>
    <w:qFormat/>
    <w:rsid w:val="007268E1"/>
    <w:rPr>
      <w:i/>
      <w:iCs/>
      <w:color w:val="0F4761" w:themeColor="accent1" w:themeShade="BF"/>
    </w:rPr>
  </w:style>
  <w:style w:type="paragraph" w:styleId="Citazioneintensa">
    <w:name w:val="Intense Quote"/>
    <w:basedOn w:val="Normale"/>
    <w:next w:val="Normale"/>
    <w:link w:val="CitazioneintensaCarattere"/>
    <w:uiPriority w:val="30"/>
    <w:qFormat/>
    <w:rsid w:val="0072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268E1"/>
    <w:rPr>
      <w:i/>
      <w:iCs/>
      <w:color w:val="0F4761" w:themeColor="accent1" w:themeShade="BF"/>
    </w:rPr>
  </w:style>
  <w:style w:type="character" w:styleId="Riferimentointenso">
    <w:name w:val="Intense Reference"/>
    <w:basedOn w:val="Carpredefinitoparagrafo"/>
    <w:uiPriority w:val="32"/>
    <w:qFormat/>
    <w:rsid w:val="007268E1"/>
    <w:rPr>
      <w:b/>
      <w:bCs/>
      <w:smallCaps/>
      <w:color w:val="0F4761" w:themeColor="accent1" w:themeShade="BF"/>
      <w:spacing w:val="5"/>
    </w:rPr>
  </w:style>
  <w:style w:type="character" w:styleId="Testosegnaposto">
    <w:name w:val="Placeholder Text"/>
    <w:basedOn w:val="Carpredefinitoparagrafo"/>
    <w:uiPriority w:val="99"/>
    <w:semiHidden/>
    <w:rsid w:val="00404F29"/>
    <w:rPr>
      <w:color w:val="666666"/>
    </w:rPr>
  </w:style>
  <w:style w:type="paragraph" w:styleId="Didascalia">
    <w:name w:val="caption"/>
    <w:basedOn w:val="Normale"/>
    <w:next w:val="Normale"/>
    <w:uiPriority w:val="35"/>
    <w:unhideWhenUsed/>
    <w:qFormat/>
    <w:rsid w:val="000B48D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5522">
      <w:bodyDiv w:val="1"/>
      <w:marLeft w:val="0"/>
      <w:marRight w:val="0"/>
      <w:marTop w:val="0"/>
      <w:marBottom w:val="0"/>
      <w:divBdr>
        <w:top w:val="none" w:sz="0" w:space="0" w:color="auto"/>
        <w:left w:val="none" w:sz="0" w:space="0" w:color="auto"/>
        <w:bottom w:val="none" w:sz="0" w:space="0" w:color="auto"/>
        <w:right w:val="none" w:sz="0" w:space="0" w:color="auto"/>
      </w:divBdr>
    </w:div>
    <w:div w:id="145129082">
      <w:bodyDiv w:val="1"/>
      <w:marLeft w:val="0"/>
      <w:marRight w:val="0"/>
      <w:marTop w:val="0"/>
      <w:marBottom w:val="0"/>
      <w:divBdr>
        <w:top w:val="none" w:sz="0" w:space="0" w:color="auto"/>
        <w:left w:val="none" w:sz="0" w:space="0" w:color="auto"/>
        <w:bottom w:val="none" w:sz="0" w:space="0" w:color="auto"/>
        <w:right w:val="none" w:sz="0" w:space="0" w:color="auto"/>
      </w:divBdr>
      <w:divsChild>
        <w:div w:id="1913661550">
          <w:marLeft w:val="0"/>
          <w:marRight w:val="0"/>
          <w:marTop w:val="0"/>
          <w:marBottom w:val="0"/>
          <w:divBdr>
            <w:top w:val="none" w:sz="0" w:space="0" w:color="auto"/>
            <w:left w:val="none" w:sz="0" w:space="0" w:color="auto"/>
            <w:bottom w:val="none" w:sz="0" w:space="0" w:color="auto"/>
            <w:right w:val="none" w:sz="0" w:space="0" w:color="auto"/>
          </w:divBdr>
          <w:divsChild>
            <w:div w:id="389691686">
              <w:marLeft w:val="0"/>
              <w:marRight w:val="0"/>
              <w:marTop w:val="0"/>
              <w:marBottom w:val="0"/>
              <w:divBdr>
                <w:top w:val="none" w:sz="0" w:space="0" w:color="auto"/>
                <w:left w:val="none" w:sz="0" w:space="0" w:color="auto"/>
                <w:bottom w:val="none" w:sz="0" w:space="0" w:color="auto"/>
                <w:right w:val="none" w:sz="0" w:space="0" w:color="auto"/>
              </w:divBdr>
              <w:divsChild>
                <w:div w:id="697387737">
                  <w:marLeft w:val="0"/>
                  <w:marRight w:val="0"/>
                  <w:marTop w:val="0"/>
                  <w:marBottom w:val="0"/>
                  <w:divBdr>
                    <w:top w:val="none" w:sz="0" w:space="0" w:color="auto"/>
                    <w:left w:val="none" w:sz="0" w:space="0" w:color="auto"/>
                    <w:bottom w:val="none" w:sz="0" w:space="0" w:color="auto"/>
                    <w:right w:val="none" w:sz="0" w:space="0" w:color="auto"/>
                  </w:divBdr>
                  <w:divsChild>
                    <w:div w:id="1731615908">
                      <w:marLeft w:val="0"/>
                      <w:marRight w:val="0"/>
                      <w:marTop w:val="0"/>
                      <w:marBottom w:val="0"/>
                      <w:divBdr>
                        <w:top w:val="none" w:sz="0" w:space="0" w:color="auto"/>
                        <w:left w:val="none" w:sz="0" w:space="0" w:color="auto"/>
                        <w:bottom w:val="none" w:sz="0" w:space="0" w:color="auto"/>
                        <w:right w:val="none" w:sz="0" w:space="0" w:color="auto"/>
                      </w:divBdr>
                      <w:divsChild>
                        <w:div w:id="532963567">
                          <w:marLeft w:val="0"/>
                          <w:marRight w:val="0"/>
                          <w:marTop w:val="0"/>
                          <w:marBottom w:val="0"/>
                          <w:divBdr>
                            <w:top w:val="none" w:sz="0" w:space="0" w:color="auto"/>
                            <w:left w:val="none" w:sz="0" w:space="0" w:color="auto"/>
                            <w:bottom w:val="none" w:sz="0" w:space="0" w:color="auto"/>
                            <w:right w:val="none" w:sz="0" w:space="0" w:color="auto"/>
                          </w:divBdr>
                          <w:divsChild>
                            <w:div w:id="1410233990">
                              <w:marLeft w:val="0"/>
                              <w:marRight w:val="0"/>
                              <w:marTop w:val="0"/>
                              <w:marBottom w:val="0"/>
                              <w:divBdr>
                                <w:top w:val="none" w:sz="0" w:space="0" w:color="auto"/>
                                <w:left w:val="none" w:sz="0" w:space="0" w:color="auto"/>
                                <w:bottom w:val="none" w:sz="0" w:space="0" w:color="auto"/>
                                <w:right w:val="none" w:sz="0" w:space="0" w:color="auto"/>
                              </w:divBdr>
                              <w:divsChild>
                                <w:div w:id="225997901">
                                  <w:marLeft w:val="0"/>
                                  <w:marRight w:val="0"/>
                                  <w:marTop w:val="0"/>
                                  <w:marBottom w:val="0"/>
                                  <w:divBdr>
                                    <w:top w:val="none" w:sz="0" w:space="0" w:color="auto"/>
                                    <w:left w:val="none" w:sz="0" w:space="0" w:color="auto"/>
                                    <w:bottom w:val="none" w:sz="0" w:space="0" w:color="auto"/>
                                    <w:right w:val="none" w:sz="0" w:space="0" w:color="auto"/>
                                  </w:divBdr>
                                  <w:divsChild>
                                    <w:div w:id="2611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560727">
      <w:bodyDiv w:val="1"/>
      <w:marLeft w:val="0"/>
      <w:marRight w:val="0"/>
      <w:marTop w:val="0"/>
      <w:marBottom w:val="0"/>
      <w:divBdr>
        <w:top w:val="none" w:sz="0" w:space="0" w:color="auto"/>
        <w:left w:val="none" w:sz="0" w:space="0" w:color="auto"/>
        <w:bottom w:val="none" w:sz="0" w:space="0" w:color="auto"/>
        <w:right w:val="none" w:sz="0" w:space="0" w:color="auto"/>
      </w:divBdr>
    </w:div>
    <w:div w:id="402070116">
      <w:bodyDiv w:val="1"/>
      <w:marLeft w:val="0"/>
      <w:marRight w:val="0"/>
      <w:marTop w:val="0"/>
      <w:marBottom w:val="0"/>
      <w:divBdr>
        <w:top w:val="none" w:sz="0" w:space="0" w:color="auto"/>
        <w:left w:val="none" w:sz="0" w:space="0" w:color="auto"/>
        <w:bottom w:val="none" w:sz="0" w:space="0" w:color="auto"/>
        <w:right w:val="none" w:sz="0" w:space="0" w:color="auto"/>
      </w:divBdr>
    </w:div>
    <w:div w:id="484317874">
      <w:bodyDiv w:val="1"/>
      <w:marLeft w:val="0"/>
      <w:marRight w:val="0"/>
      <w:marTop w:val="0"/>
      <w:marBottom w:val="0"/>
      <w:divBdr>
        <w:top w:val="none" w:sz="0" w:space="0" w:color="auto"/>
        <w:left w:val="none" w:sz="0" w:space="0" w:color="auto"/>
        <w:bottom w:val="none" w:sz="0" w:space="0" w:color="auto"/>
        <w:right w:val="none" w:sz="0" w:space="0" w:color="auto"/>
      </w:divBdr>
    </w:div>
    <w:div w:id="549003274">
      <w:bodyDiv w:val="1"/>
      <w:marLeft w:val="0"/>
      <w:marRight w:val="0"/>
      <w:marTop w:val="0"/>
      <w:marBottom w:val="0"/>
      <w:divBdr>
        <w:top w:val="none" w:sz="0" w:space="0" w:color="auto"/>
        <w:left w:val="none" w:sz="0" w:space="0" w:color="auto"/>
        <w:bottom w:val="none" w:sz="0" w:space="0" w:color="auto"/>
        <w:right w:val="none" w:sz="0" w:space="0" w:color="auto"/>
      </w:divBdr>
    </w:div>
    <w:div w:id="611673741">
      <w:bodyDiv w:val="1"/>
      <w:marLeft w:val="0"/>
      <w:marRight w:val="0"/>
      <w:marTop w:val="0"/>
      <w:marBottom w:val="0"/>
      <w:divBdr>
        <w:top w:val="none" w:sz="0" w:space="0" w:color="auto"/>
        <w:left w:val="none" w:sz="0" w:space="0" w:color="auto"/>
        <w:bottom w:val="none" w:sz="0" w:space="0" w:color="auto"/>
        <w:right w:val="none" w:sz="0" w:space="0" w:color="auto"/>
      </w:divBdr>
    </w:div>
    <w:div w:id="612132043">
      <w:bodyDiv w:val="1"/>
      <w:marLeft w:val="0"/>
      <w:marRight w:val="0"/>
      <w:marTop w:val="0"/>
      <w:marBottom w:val="0"/>
      <w:divBdr>
        <w:top w:val="none" w:sz="0" w:space="0" w:color="auto"/>
        <w:left w:val="none" w:sz="0" w:space="0" w:color="auto"/>
        <w:bottom w:val="none" w:sz="0" w:space="0" w:color="auto"/>
        <w:right w:val="none" w:sz="0" w:space="0" w:color="auto"/>
      </w:divBdr>
    </w:div>
    <w:div w:id="663238649">
      <w:bodyDiv w:val="1"/>
      <w:marLeft w:val="0"/>
      <w:marRight w:val="0"/>
      <w:marTop w:val="0"/>
      <w:marBottom w:val="0"/>
      <w:divBdr>
        <w:top w:val="none" w:sz="0" w:space="0" w:color="auto"/>
        <w:left w:val="none" w:sz="0" w:space="0" w:color="auto"/>
        <w:bottom w:val="none" w:sz="0" w:space="0" w:color="auto"/>
        <w:right w:val="none" w:sz="0" w:space="0" w:color="auto"/>
      </w:divBdr>
    </w:div>
    <w:div w:id="683434136">
      <w:bodyDiv w:val="1"/>
      <w:marLeft w:val="0"/>
      <w:marRight w:val="0"/>
      <w:marTop w:val="0"/>
      <w:marBottom w:val="0"/>
      <w:divBdr>
        <w:top w:val="none" w:sz="0" w:space="0" w:color="auto"/>
        <w:left w:val="none" w:sz="0" w:space="0" w:color="auto"/>
        <w:bottom w:val="none" w:sz="0" w:space="0" w:color="auto"/>
        <w:right w:val="none" w:sz="0" w:space="0" w:color="auto"/>
      </w:divBdr>
    </w:div>
    <w:div w:id="692420107">
      <w:bodyDiv w:val="1"/>
      <w:marLeft w:val="0"/>
      <w:marRight w:val="0"/>
      <w:marTop w:val="0"/>
      <w:marBottom w:val="0"/>
      <w:divBdr>
        <w:top w:val="none" w:sz="0" w:space="0" w:color="auto"/>
        <w:left w:val="none" w:sz="0" w:space="0" w:color="auto"/>
        <w:bottom w:val="none" w:sz="0" w:space="0" w:color="auto"/>
        <w:right w:val="none" w:sz="0" w:space="0" w:color="auto"/>
      </w:divBdr>
    </w:div>
    <w:div w:id="762800921">
      <w:bodyDiv w:val="1"/>
      <w:marLeft w:val="0"/>
      <w:marRight w:val="0"/>
      <w:marTop w:val="0"/>
      <w:marBottom w:val="0"/>
      <w:divBdr>
        <w:top w:val="none" w:sz="0" w:space="0" w:color="auto"/>
        <w:left w:val="none" w:sz="0" w:space="0" w:color="auto"/>
        <w:bottom w:val="none" w:sz="0" w:space="0" w:color="auto"/>
        <w:right w:val="none" w:sz="0" w:space="0" w:color="auto"/>
      </w:divBdr>
    </w:div>
    <w:div w:id="775716657">
      <w:bodyDiv w:val="1"/>
      <w:marLeft w:val="0"/>
      <w:marRight w:val="0"/>
      <w:marTop w:val="0"/>
      <w:marBottom w:val="0"/>
      <w:divBdr>
        <w:top w:val="none" w:sz="0" w:space="0" w:color="auto"/>
        <w:left w:val="none" w:sz="0" w:space="0" w:color="auto"/>
        <w:bottom w:val="none" w:sz="0" w:space="0" w:color="auto"/>
        <w:right w:val="none" w:sz="0" w:space="0" w:color="auto"/>
      </w:divBdr>
    </w:div>
    <w:div w:id="803306201">
      <w:bodyDiv w:val="1"/>
      <w:marLeft w:val="0"/>
      <w:marRight w:val="0"/>
      <w:marTop w:val="0"/>
      <w:marBottom w:val="0"/>
      <w:divBdr>
        <w:top w:val="none" w:sz="0" w:space="0" w:color="auto"/>
        <w:left w:val="none" w:sz="0" w:space="0" w:color="auto"/>
        <w:bottom w:val="none" w:sz="0" w:space="0" w:color="auto"/>
        <w:right w:val="none" w:sz="0" w:space="0" w:color="auto"/>
      </w:divBdr>
    </w:div>
    <w:div w:id="820074960">
      <w:bodyDiv w:val="1"/>
      <w:marLeft w:val="0"/>
      <w:marRight w:val="0"/>
      <w:marTop w:val="0"/>
      <w:marBottom w:val="0"/>
      <w:divBdr>
        <w:top w:val="none" w:sz="0" w:space="0" w:color="auto"/>
        <w:left w:val="none" w:sz="0" w:space="0" w:color="auto"/>
        <w:bottom w:val="none" w:sz="0" w:space="0" w:color="auto"/>
        <w:right w:val="none" w:sz="0" w:space="0" w:color="auto"/>
      </w:divBdr>
    </w:div>
    <w:div w:id="871571318">
      <w:bodyDiv w:val="1"/>
      <w:marLeft w:val="0"/>
      <w:marRight w:val="0"/>
      <w:marTop w:val="0"/>
      <w:marBottom w:val="0"/>
      <w:divBdr>
        <w:top w:val="none" w:sz="0" w:space="0" w:color="auto"/>
        <w:left w:val="none" w:sz="0" w:space="0" w:color="auto"/>
        <w:bottom w:val="none" w:sz="0" w:space="0" w:color="auto"/>
        <w:right w:val="none" w:sz="0" w:space="0" w:color="auto"/>
      </w:divBdr>
      <w:divsChild>
        <w:div w:id="395129390">
          <w:marLeft w:val="0"/>
          <w:marRight w:val="0"/>
          <w:marTop w:val="0"/>
          <w:marBottom w:val="0"/>
          <w:divBdr>
            <w:top w:val="none" w:sz="0" w:space="0" w:color="auto"/>
            <w:left w:val="none" w:sz="0" w:space="0" w:color="auto"/>
            <w:bottom w:val="none" w:sz="0" w:space="0" w:color="auto"/>
            <w:right w:val="none" w:sz="0" w:space="0" w:color="auto"/>
          </w:divBdr>
          <w:divsChild>
            <w:div w:id="1127814977">
              <w:marLeft w:val="0"/>
              <w:marRight w:val="0"/>
              <w:marTop w:val="0"/>
              <w:marBottom w:val="0"/>
              <w:divBdr>
                <w:top w:val="none" w:sz="0" w:space="0" w:color="auto"/>
                <w:left w:val="none" w:sz="0" w:space="0" w:color="auto"/>
                <w:bottom w:val="none" w:sz="0" w:space="0" w:color="auto"/>
                <w:right w:val="none" w:sz="0" w:space="0" w:color="auto"/>
              </w:divBdr>
              <w:divsChild>
                <w:div w:id="1712151610">
                  <w:marLeft w:val="0"/>
                  <w:marRight w:val="0"/>
                  <w:marTop w:val="0"/>
                  <w:marBottom w:val="0"/>
                  <w:divBdr>
                    <w:top w:val="none" w:sz="0" w:space="0" w:color="auto"/>
                    <w:left w:val="none" w:sz="0" w:space="0" w:color="auto"/>
                    <w:bottom w:val="none" w:sz="0" w:space="0" w:color="auto"/>
                    <w:right w:val="none" w:sz="0" w:space="0" w:color="auto"/>
                  </w:divBdr>
                  <w:divsChild>
                    <w:div w:id="1008171016">
                      <w:marLeft w:val="0"/>
                      <w:marRight w:val="0"/>
                      <w:marTop w:val="0"/>
                      <w:marBottom w:val="0"/>
                      <w:divBdr>
                        <w:top w:val="none" w:sz="0" w:space="0" w:color="auto"/>
                        <w:left w:val="none" w:sz="0" w:space="0" w:color="auto"/>
                        <w:bottom w:val="none" w:sz="0" w:space="0" w:color="auto"/>
                        <w:right w:val="none" w:sz="0" w:space="0" w:color="auto"/>
                      </w:divBdr>
                      <w:divsChild>
                        <w:div w:id="447429534">
                          <w:marLeft w:val="0"/>
                          <w:marRight w:val="0"/>
                          <w:marTop w:val="0"/>
                          <w:marBottom w:val="0"/>
                          <w:divBdr>
                            <w:top w:val="none" w:sz="0" w:space="0" w:color="auto"/>
                            <w:left w:val="none" w:sz="0" w:space="0" w:color="auto"/>
                            <w:bottom w:val="none" w:sz="0" w:space="0" w:color="auto"/>
                            <w:right w:val="none" w:sz="0" w:space="0" w:color="auto"/>
                          </w:divBdr>
                          <w:divsChild>
                            <w:div w:id="943659227">
                              <w:marLeft w:val="0"/>
                              <w:marRight w:val="0"/>
                              <w:marTop w:val="0"/>
                              <w:marBottom w:val="0"/>
                              <w:divBdr>
                                <w:top w:val="none" w:sz="0" w:space="0" w:color="auto"/>
                                <w:left w:val="none" w:sz="0" w:space="0" w:color="auto"/>
                                <w:bottom w:val="none" w:sz="0" w:space="0" w:color="auto"/>
                                <w:right w:val="none" w:sz="0" w:space="0" w:color="auto"/>
                              </w:divBdr>
                              <w:divsChild>
                                <w:div w:id="947390382">
                                  <w:marLeft w:val="0"/>
                                  <w:marRight w:val="0"/>
                                  <w:marTop w:val="0"/>
                                  <w:marBottom w:val="0"/>
                                  <w:divBdr>
                                    <w:top w:val="none" w:sz="0" w:space="0" w:color="auto"/>
                                    <w:left w:val="none" w:sz="0" w:space="0" w:color="auto"/>
                                    <w:bottom w:val="none" w:sz="0" w:space="0" w:color="auto"/>
                                    <w:right w:val="none" w:sz="0" w:space="0" w:color="auto"/>
                                  </w:divBdr>
                                  <w:divsChild>
                                    <w:div w:id="19185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551276">
      <w:bodyDiv w:val="1"/>
      <w:marLeft w:val="0"/>
      <w:marRight w:val="0"/>
      <w:marTop w:val="0"/>
      <w:marBottom w:val="0"/>
      <w:divBdr>
        <w:top w:val="none" w:sz="0" w:space="0" w:color="auto"/>
        <w:left w:val="none" w:sz="0" w:space="0" w:color="auto"/>
        <w:bottom w:val="none" w:sz="0" w:space="0" w:color="auto"/>
        <w:right w:val="none" w:sz="0" w:space="0" w:color="auto"/>
      </w:divBdr>
    </w:div>
    <w:div w:id="1124270392">
      <w:bodyDiv w:val="1"/>
      <w:marLeft w:val="0"/>
      <w:marRight w:val="0"/>
      <w:marTop w:val="0"/>
      <w:marBottom w:val="0"/>
      <w:divBdr>
        <w:top w:val="none" w:sz="0" w:space="0" w:color="auto"/>
        <w:left w:val="none" w:sz="0" w:space="0" w:color="auto"/>
        <w:bottom w:val="none" w:sz="0" w:space="0" w:color="auto"/>
        <w:right w:val="none" w:sz="0" w:space="0" w:color="auto"/>
      </w:divBdr>
    </w:div>
    <w:div w:id="1187133625">
      <w:bodyDiv w:val="1"/>
      <w:marLeft w:val="0"/>
      <w:marRight w:val="0"/>
      <w:marTop w:val="0"/>
      <w:marBottom w:val="0"/>
      <w:divBdr>
        <w:top w:val="none" w:sz="0" w:space="0" w:color="auto"/>
        <w:left w:val="none" w:sz="0" w:space="0" w:color="auto"/>
        <w:bottom w:val="none" w:sz="0" w:space="0" w:color="auto"/>
        <w:right w:val="none" w:sz="0" w:space="0" w:color="auto"/>
      </w:divBdr>
    </w:div>
    <w:div w:id="1214806640">
      <w:bodyDiv w:val="1"/>
      <w:marLeft w:val="0"/>
      <w:marRight w:val="0"/>
      <w:marTop w:val="0"/>
      <w:marBottom w:val="0"/>
      <w:divBdr>
        <w:top w:val="none" w:sz="0" w:space="0" w:color="auto"/>
        <w:left w:val="none" w:sz="0" w:space="0" w:color="auto"/>
        <w:bottom w:val="none" w:sz="0" w:space="0" w:color="auto"/>
        <w:right w:val="none" w:sz="0" w:space="0" w:color="auto"/>
      </w:divBdr>
    </w:div>
    <w:div w:id="1226572571">
      <w:bodyDiv w:val="1"/>
      <w:marLeft w:val="0"/>
      <w:marRight w:val="0"/>
      <w:marTop w:val="0"/>
      <w:marBottom w:val="0"/>
      <w:divBdr>
        <w:top w:val="none" w:sz="0" w:space="0" w:color="auto"/>
        <w:left w:val="none" w:sz="0" w:space="0" w:color="auto"/>
        <w:bottom w:val="none" w:sz="0" w:space="0" w:color="auto"/>
        <w:right w:val="none" w:sz="0" w:space="0" w:color="auto"/>
      </w:divBdr>
    </w:div>
    <w:div w:id="1485243801">
      <w:bodyDiv w:val="1"/>
      <w:marLeft w:val="0"/>
      <w:marRight w:val="0"/>
      <w:marTop w:val="0"/>
      <w:marBottom w:val="0"/>
      <w:divBdr>
        <w:top w:val="none" w:sz="0" w:space="0" w:color="auto"/>
        <w:left w:val="none" w:sz="0" w:space="0" w:color="auto"/>
        <w:bottom w:val="none" w:sz="0" w:space="0" w:color="auto"/>
        <w:right w:val="none" w:sz="0" w:space="0" w:color="auto"/>
      </w:divBdr>
      <w:divsChild>
        <w:div w:id="1106925867">
          <w:marLeft w:val="0"/>
          <w:marRight w:val="0"/>
          <w:marTop w:val="0"/>
          <w:marBottom w:val="0"/>
          <w:divBdr>
            <w:top w:val="none" w:sz="0" w:space="0" w:color="auto"/>
            <w:left w:val="none" w:sz="0" w:space="0" w:color="auto"/>
            <w:bottom w:val="none" w:sz="0" w:space="0" w:color="auto"/>
            <w:right w:val="none" w:sz="0" w:space="0" w:color="auto"/>
          </w:divBdr>
          <w:divsChild>
            <w:div w:id="572736932">
              <w:marLeft w:val="0"/>
              <w:marRight w:val="0"/>
              <w:marTop w:val="0"/>
              <w:marBottom w:val="0"/>
              <w:divBdr>
                <w:top w:val="none" w:sz="0" w:space="0" w:color="auto"/>
                <w:left w:val="none" w:sz="0" w:space="0" w:color="auto"/>
                <w:bottom w:val="none" w:sz="0" w:space="0" w:color="auto"/>
                <w:right w:val="none" w:sz="0" w:space="0" w:color="auto"/>
              </w:divBdr>
              <w:divsChild>
                <w:div w:id="687870778">
                  <w:marLeft w:val="0"/>
                  <w:marRight w:val="0"/>
                  <w:marTop w:val="0"/>
                  <w:marBottom w:val="0"/>
                  <w:divBdr>
                    <w:top w:val="none" w:sz="0" w:space="0" w:color="auto"/>
                    <w:left w:val="none" w:sz="0" w:space="0" w:color="auto"/>
                    <w:bottom w:val="none" w:sz="0" w:space="0" w:color="auto"/>
                    <w:right w:val="none" w:sz="0" w:space="0" w:color="auto"/>
                  </w:divBdr>
                  <w:divsChild>
                    <w:div w:id="43873302">
                      <w:marLeft w:val="0"/>
                      <w:marRight w:val="0"/>
                      <w:marTop w:val="0"/>
                      <w:marBottom w:val="0"/>
                      <w:divBdr>
                        <w:top w:val="none" w:sz="0" w:space="0" w:color="auto"/>
                        <w:left w:val="none" w:sz="0" w:space="0" w:color="auto"/>
                        <w:bottom w:val="none" w:sz="0" w:space="0" w:color="auto"/>
                        <w:right w:val="none" w:sz="0" w:space="0" w:color="auto"/>
                      </w:divBdr>
                      <w:divsChild>
                        <w:div w:id="529997216">
                          <w:marLeft w:val="0"/>
                          <w:marRight w:val="0"/>
                          <w:marTop w:val="0"/>
                          <w:marBottom w:val="0"/>
                          <w:divBdr>
                            <w:top w:val="none" w:sz="0" w:space="0" w:color="auto"/>
                            <w:left w:val="none" w:sz="0" w:space="0" w:color="auto"/>
                            <w:bottom w:val="none" w:sz="0" w:space="0" w:color="auto"/>
                            <w:right w:val="none" w:sz="0" w:space="0" w:color="auto"/>
                          </w:divBdr>
                          <w:divsChild>
                            <w:div w:id="1535461515">
                              <w:marLeft w:val="0"/>
                              <w:marRight w:val="0"/>
                              <w:marTop w:val="0"/>
                              <w:marBottom w:val="0"/>
                              <w:divBdr>
                                <w:top w:val="none" w:sz="0" w:space="0" w:color="auto"/>
                                <w:left w:val="none" w:sz="0" w:space="0" w:color="auto"/>
                                <w:bottom w:val="none" w:sz="0" w:space="0" w:color="auto"/>
                                <w:right w:val="none" w:sz="0" w:space="0" w:color="auto"/>
                              </w:divBdr>
                              <w:divsChild>
                                <w:div w:id="211498997">
                                  <w:marLeft w:val="0"/>
                                  <w:marRight w:val="0"/>
                                  <w:marTop w:val="0"/>
                                  <w:marBottom w:val="0"/>
                                  <w:divBdr>
                                    <w:top w:val="none" w:sz="0" w:space="0" w:color="auto"/>
                                    <w:left w:val="none" w:sz="0" w:space="0" w:color="auto"/>
                                    <w:bottom w:val="none" w:sz="0" w:space="0" w:color="auto"/>
                                    <w:right w:val="none" w:sz="0" w:space="0" w:color="auto"/>
                                  </w:divBdr>
                                  <w:divsChild>
                                    <w:div w:id="3408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759842">
      <w:bodyDiv w:val="1"/>
      <w:marLeft w:val="0"/>
      <w:marRight w:val="0"/>
      <w:marTop w:val="0"/>
      <w:marBottom w:val="0"/>
      <w:divBdr>
        <w:top w:val="none" w:sz="0" w:space="0" w:color="auto"/>
        <w:left w:val="none" w:sz="0" w:space="0" w:color="auto"/>
        <w:bottom w:val="none" w:sz="0" w:space="0" w:color="auto"/>
        <w:right w:val="none" w:sz="0" w:space="0" w:color="auto"/>
      </w:divBdr>
      <w:divsChild>
        <w:div w:id="2016377006">
          <w:marLeft w:val="0"/>
          <w:marRight w:val="0"/>
          <w:marTop w:val="0"/>
          <w:marBottom w:val="0"/>
          <w:divBdr>
            <w:top w:val="none" w:sz="0" w:space="0" w:color="auto"/>
            <w:left w:val="none" w:sz="0" w:space="0" w:color="auto"/>
            <w:bottom w:val="none" w:sz="0" w:space="0" w:color="auto"/>
            <w:right w:val="none" w:sz="0" w:space="0" w:color="auto"/>
          </w:divBdr>
          <w:divsChild>
            <w:div w:id="785852342">
              <w:marLeft w:val="0"/>
              <w:marRight w:val="0"/>
              <w:marTop w:val="0"/>
              <w:marBottom w:val="0"/>
              <w:divBdr>
                <w:top w:val="none" w:sz="0" w:space="0" w:color="auto"/>
                <w:left w:val="none" w:sz="0" w:space="0" w:color="auto"/>
                <w:bottom w:val="none" w:sz="0" w:space="0" w:color="auto"/>
                <w:right w:val="none" w:sz="0" w:space="0" w:color="auto"/>
              </w:divBdr>
              <w:divsChild>
                <w:div w:id="210388965">
                  <w:marLeft w:val="0"/>
                  <w:marRight w:val="0"/>
                  <w:marTop w:val="0"/>
                  <w:marBottom w:val="0"/>
                  <w:divBdr>
                    <w:top w:val="none" w:sz="0" w:space="0" w:color="auto"/>
                    <w:left w:val="none" w:sz="0" w:space="0" w:color="auto"/>
                    <w:bottom w:val="none" w:sz="0" w:space="0" w:color="auto"/>
                    <w:right w:val="none" w:sz="0" w:space="0" w:color="auto"/>
                  </w:divBdr>
                  <w:divsChild>
                    <w:div w:id="575286455">
                      <w:marLeft w:val="0"/>
                      <w:marRight w:val="0"/>
                      <w:marTop w:val="0"/>
                      <w:marBottom w:val="0"/>
                      <w:divBdr>
                        <w:top w:val="none" w:sz="0" w:space="0" w:color="auto"/>
                        <w:left w:val="none" w:sz="0" w:space="0" w:color="auto"/>
                        <w:bottom w:val="none" w:sz="0" w:space="0" w:color="auto"/>
                        <w:right w:val="none" w:sz="0" w:space="0" w:color="auto"/>
                      </w:divBdr>
                      <w:divsChild>
                        <w:div w:id="1632859539">
                          <w:marLeft w:val="0"/>
                          <w:marRight w:val="0"/>
                          <w:marTop w:val="0"/>
                          <w:marBottom w:val="0"/>
                          <w:divBdr>
                            <w:top w:val="none" w:sz="0" w:space="0" w:color="auto"/>
                            <w:left w:val="none" w:sz="0" w:space="0" w:color="auto"/>
                            <w:bottom w:val="none" w:sz="0" w:space="0" w:color="auto"/>
                            <w:right w:val="none" w:sz="0" w:space="0" w:color="auto"/>
                          </w:divBdr>
                          <w:divsChild>
                            <w:div w:id="1104424932">
                              <w:marLeft w:val="0"/>
                              <w:marRight w:val="0"/>
                              <w:marTop w:val="0"/>
                              <w:marBottom w:val="0"/>
                              <w:divBdr>
                                <w:top w:val="none" w:sz="0" w:space="0" w:color="auto"/>
                                <w:left w:val="none" w:sz="0" w:space="0" w:color="auto"/>
                                <w:bottom w:val="none" w:sz="0" w:space="0" w:color="auto"/>
                                <w:right w:val="none" w:sz="0" w:space="0" w:color="auto"/>
                              </w:divBdr>
                              <w:divsChild>
                                <w:div w:id="581767761">
                                  <w:marLeft w:val="0"/>
                                  <w:marRight w:val="0"/>
                                  <w:marTop w:val="0"/>
                                  <w:marBottom w:val="0"/>
                                  <w:divBdr>
                                    <w:top w:val="none" w:sz="0" w:space="0" w:color="auto"/>
                                    <w:left w:val="none" w:sz="0" w:space="0" w:color="auto"/>
                                    <w:bottom w:val="none" w:sz="0" w:space="0" w:color="auto"/>
                                    <w:right w:val="none" w:sz="0" w:space="0" w:color="auto"/>
                                  </w:divBdr>
                                  <w:divsChild>
                                    <w:div w:id="8278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203473">
      <w:bodyDiv w:val="1"/>
      <w:marLeft w:val="0"/>
      <w:marRight w:val="0"/>
      <w:marTop w:val="0"/>
      <w:marBottom w:val="0"/>
      <w:divBdr>
        <w:top w:val="none" w:sz="0" w:space="0" w:color="auto"/>
        <w:left w:val="none" w:sz="0" w:space="0" w:color="auto"/>
        <w:bottom w:val="none" w:sz="0" w:space="0" w:color="auto"/>
        <w:right w:val="none" w:sz="0" w:space="0" w:color="auto"/>
      </w:divBdr>
    </w:div>
    <w:div w:id="207527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EFA5C5-35A3-49D6-8B58-1A2065C7D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B8B2AF-DB1A-4B60-9E7A-F3B2E26AF6CC}">
  <ds:schemaRefs>
    <ds:schemaRef ds:uri="http://schemas.microsoft.com/sharepoint/v3/contenttype/forms"/>
  </ds:schemaRefs>
</ds:datastoreItem>
</file>

<file path=customXml/itemProps3.xml><?xml version="1.0" encoding="utf-8"?>
<ds:datastoreItem xmlns:ds="http://schemas.openxmlformats.org/officeDocument/2006/customXml" ds:itemID="{CF397ED1-CF4E-42B7-B700-9B38A425CC2D}">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1413</Words>
  <Characters>8056</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Pastore</cp:lastModifiedBy>
  <cp:revision>2</cp:revision>
  <dcterms:created xsi:type="dcterms:W3CDTF">2025-06-10T13:11:00Z</dcterms:created>
  <dcterms:modified xsi:type="dcterms:W3CDTF">2025-06-10T13:11:00Z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