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B589" w14:textId="450D53C7" w:rsidR="00962555" w:rsidRDefault="00962555" w:rsidP="00025A97">
      <w:pPr>
        <w:pStyle w:val="Titolo"/>
        <w:jc w:val="both"/>
      </w:pPr>
      <w:r>
        <w:t>La dichiarazione dei beni all’estero</w:t>
      </w:r>
    </w:p>
    <w:p w14:paraId="73C034C2" w14:textId="3838F7DF" w:rsidR="003E2044" w:rsidRDefault="00962555" w:rsidP="00025A97">
      <w:pPr>
        <w:jc w:val="both"/>
        <w:rPr>
          <w:i/>
          <w:iCs/>
        </w:rPr>
      </w:pPr>
      <w:r>
        <w:rPr>
          <w:i/>
          <w:iCs/>
        </w:rPr>
        <w:t xml:space="preserve">La presenza di beni o redditi esteri </w:t>
      </w:r>
      <w:r w:rsidRPr="00962555">
        <w:rPr>
          <w:i/>
          <w:iCs/>
        </w:rPr>
        <w:t xml:space="preserve">rappresenta una delle </w:t>
      </w:r>
      <w:r w:rsidR="006A2EF5">
        <w:rPr>
          <w:i/>
          <w:iCs/>
        </w:rPr>
        <w:t xml:space="preserve">fattispecie </w:t>
      </w:r>
      <w:r w:rsidRPr="00962555">
        <w:rPr>
          <w:i/>
          <w:iCs/>
        </w:rPr>
        <w:t xml:space="preserve">più complesse e delicate della dichiarazione dei redditi. </w:t>
      </w:r>
      <w:r w:rsidR="006A2EF5">
        <w:rPr>
          <w:i/>
          <w:iCs/>
        </w:rPr>
        <w:t>Il primo scoglio da superare è senza dubbio il quadro RW che, n</w:t>
      </w:r>
      <w:r w:rsidRPr="00962555">
        <w:rPr>
          <w:i/>
          <w:iCs/>
        </w:rPr>
        <w:t>ato con la finalità di monitorare il possesso di investimenti e attività finanziarie detenute all’ester</w:t>
      </w:r>
      <w:r w:rsidR="006A2EF5">
        <w:rPr>
          <w:i/>
          <w:iCs/>
        </w:rPr>
        <w:t>o,</w:t>
      </w:r>
      <w:r w:rsidRPr="00962555">
        <w:rPr>
          <w:i/>
          <w:iCs/>
        </w:rPr>
        <w:t xml:space="preserve"> ha assunto nel tempo un ruolo centrale nella lotta all’evasione fiscale, grazie allo scambio automatico di informazioni e al progressivo ampliamento dei soggetti obbligati.</w:t>
      </w:r>
      <w:r w:rsidR="003E2044">
        <w:rPr>
          <w:i/>
          <w:iCs/>
        </w:rPr>
        <w:t xml:space="preserve"> A questo si aggiungono sezioni dedicate nei quadri reddituali per il calcolo di plusvalenze, dividendi, interessi e altri redditi di fonte estera.</w:t>
      </w:r>
    </w:p>
    <w:p w14:paraId="7C12C15B" w14:textId="025ABB8D" w:rsidR="00962555" w:rsidRPr="00962555" w:rsidRDefault="00962555" w:rsidP="00025A97">
      <w:pPr>
        <w:jc w:val="both"/>
        <w:rPr>
          <w:i/>
          <w:iCs/>
        </w:rPr>
      </w:pPr>
      <w:r w:rsidRPr="00962555">
        <w:rPr>
          <w:i/>
          <w:iCs/>
        </w:rPr>
        <w:t xml:space="preserve">La gestione accurata degli adempimenti </w:t>
      </w:r>
      <w:r w:rsidR="00653841">
        <w:rPr>
          <w:i/>
          <w:iCs/>
        </w:rPr>
        <w:t xml:space="preserve">dichiarativi in caso di rapporti con l’estero </w:t>
      </w:r>
      <w:r w:rsidRPr="00962555">
        <w:rPr>
          <w:i/>
          <w:iCs/>
        </w:rPr>
        <w:t xml:space="preserve">comporta </w:t>
      </w:r>
      <w:r w:rsidR="00653841">
        <w:rPr>
          <w:i/>
          <w:iCs/>
        </w:rPr>
        <w:t xml:space="preserve">quindi </w:t>
      </w:r>
      <w:r w:rsidRPr="00962555">
        <w:rPr>
          <w:i/>
          <w:iCs/>
        </w:rPr>
        <w:t xml:space="preserve">per i </w:t>
      </w:r>
      <w:r w:rsidR="006A2EF5">
        <w:rPr>
          <w:i/>
          <w:iCs/>
        </w:rPr>
        <w:t xml:space="preserve">contribuenti e i loro consulenti </w:t>
      </w:r>
      <w:r w:rsidRPr="00962555">
        <w:rPr>
          <w:i/>
          <w:iCs/>
        </w:rPr>
        <w:t xml:space="preserve">la necessità di una costante attenzione alle novità normative, interpretative e giurisprudenziali nonché </w:t>
      </w:r>
      <w:r w:rsidR="006A2EF5">
        <w:rPr>
          <w:i/>
          <w:iCs/>
        </w:rPr>
        <w:t>l’effettuazione di calcol</w:t>
      </w:r>
      <w:r w:rsidR="000C2C02">
        <w:rPr>
          <w:i/>
          <w:iCs/>
        </w:rPr>
        <w:t>i</w:t>
      </w:r>
      <w:r w:rsidR="006A2EF5">
        <w:rPr>
          <w:i/>
          <w:iCs/>
        </w:rPr>
        <w:t xml:space="preserve"> non sempre elementari</w:t>
      </w:r>
      <w:r w:rsidR="000C2C02">
        <w:rPr>
          <w:i/>
          <w:iCs/>
        </w:rPr>
        <w:t xml:space="preserve"> e immediati</w:t>
      </w:r>
      <w:r w:rsidR="006A2EF5">
        <w:rPr>
          <w:i/>
          <w:iCs/>
        </w:rPr>
        <w:t xml:space="preserve">. Il Tool </w:t>
      </w:r>
      <w:r w:rsidR="00A642BF" w:rsidRPr="00A642BF">
        <w:rPr>
          <w:i/>
          <w:iCs/>
        </w:rPr>
        <w:t>Quadro RW_24</w:t>
      </w:r>
      <w:r w:rsidR="00A642BF">
        <w:rPr>
          <w:i/>
          <w:iCs/>
        </w:rPr>
        <w:t xml:space="preserve"> </w:t>
      </w:r>
      <w:r w:rsidR="006A2EF5">
        <w:rPr>
          <w:i/>
          <w:iCs/>
        </w:rPr>
        <w:t>ha l’intento di aiutare il compilatore nei principali passaggi dichiarativi in merito al possesso e ai relativi redditi.</w:t>
      </w:r>
    </w:p>
    <w:p w14:paraId="0C25FFBF" w14:textId="5D3F6A18" w:rsidR="00962555" w:rsidRDefault="001F7B85" w:rsidP="00025A97">
      <w:pPr>
        <w:pStyle w:val="Titolo1"/>
        <w:jc w:val="both"/>
      </w:pPr>
      <w:r>
        <w:t>Q</w:t>
      </w:r>
      <w:r w:rsidR="00CC2207">
        <w:t>uando basta il quadro RW</w:t>
      </w:r>
    </w:p>
    <w:p w14:paraId="6988C72D" w14:textId="79A4974A" w:rsidR="00CC2207" w:rsidRDefault="00CC2207" w:rsidP="00CC2207">
      <w:pPr>
        <w:jc w:val="both"/>
      </w:pPr>
      <w:r w:rsidRPr="00962555">
        <w:t>Il quadro RW</w:t>
      </w:r>
      <w:r w:rsidR="00653841">
        <w:t>,</w:t>
      </w:r>
      <w:r w:rsidRPr="00962555">
        <w:t xml:space="preserve"> inserito </w:t>
      </w:r>
      <w:r w:rsidR="00F56506">
        <w:t xml:space="preserve">da tempo </w:t>
      </w:r>
      <w:r w:rsidRPr="00962555">
        <w:t xml:space="preserve">nel modello </w:t>
      </w:r>
      <w:r w:rsidRPr="003E2044">
        <w:rPr>
          <w:b/>
          <w:bCs/>
        </w:rPr>
        <w:t>Redditi Persone Fisiche</w:t>
      </w:r>
      <w:r w:rsidRPr="00962555">
        <w:t xml:space="preserve"> </w:t>
      </w:r>
      <w:r>
        <w:t xml:space="preserve">e da quest’anno </w:t>
      </w:r>
      <w:r w:rsidR="003E2044">
        <w:t xml:space="preserve">affiancato dall’analogo </w:t>
      </w:r>
      <w:r>
        <w:t xml:space="preserve">quadro W anche </w:t>
      </w:r>
      <w:r w:rsidR="003E2044">
        <w:t xml:space="preserve">per il </w:t>
      </w:r>
      <w:r>
        <w:t>730/2025</w:t>
      </w:r>
      <w:r w:rsidRPr="00962555">
        <w:t xml:space="preserve">, è dedicato alla dichiarazione </w:t>
      </w:r>
      <w:r w:rsidRPr="00DB5700">
        <w:rPr>
          <w:b/>
          <w:bCs/>
        </w:rPr>
        <w:t>di investimenti all’estero e delle attività estere di natura finanziaria</w:t>
      </w:r>
      <w:r w:rsidRPr="00962555">
        <w:t>. L’obbligo riguarda non solo le persone fisiche residenti, ma anche gli enti non commerciali e le società semplici e assimilate.</w:t>
      </w:r>
    </w:p>
    <w:p w14:paraId="3F4DF578" w14:textId="77777777" w:rsidR="00CC2207" w:rsidRDefault="00CC2207" w:rsidP="00CC2207">
      <w:pPr>
        <w:jc w:val="both"/>
      </w:pPr>
      <w:r w:rsidRPr="00962555">
        <w:t>Risultano pertanto obbligati:</w:t>
      </w:r>
    </w:p>
    <w:p w14:paraId="2CCEDA8E" w14:textId="77777777" w:rsidR="00CC2207" w:rsidRDefault="00CC2207" w:rsidP="00CC2207">
      <w:pPr>
        <w:pStyle w:val="Paragrafoelenco"/>
        <w:numPr>
          <w:ilvl w:val="0"/>
          <w:numId w:val="1"/>
        </w:numPr>
        <w:jc w:val="both"/>
      </w:pPr>
      <w:r w:rsidRPr="00962555">
        <w:t>Le persone fisiche residenti in Italia, inclusi i titolari effettivi secondo la disciplina antiriciclaggio;</w:t>
      </w:r>
    </w:p>
    <w:p w14:paraId="16A34AE3" w14:textId="77777777" w:rsidR="00CC2207" w:rsidRDefault="00CC2207" w:rsidP="00CC2207">
      <w:pPr>
        <w:pStyle w:val="Paragrafoelenco"/>
        <w:numPr>
          <w:ilvl w:val="0"/>
          <w:numId w:val="1"/>
        </w:numPr>
        <w:jc w:val="both"/>
      </w:pPr>
      <w:r w:rsidRPr="00962555">
        <w:t>Le società semplici, le associazioni equiparate e gli enti non commerciali residenti;</w:t>
      </w:r>
    </w:p>
    <w:p w14:paraId="117C9D04" w14:textId="77777777" w:rsidR="00CC2207" w:rsidRDefault="00CC2207" w:rsidP="00CC2207">
      <w:pPr>
        <w:pStyle w:val="Paragrafoelenco"/>
        <w:numPr>
          <w:ilvl w:val="0"/>
          <w:numId w:val="1"/>
        </w:numPr>
        <w:jc w:val="both"/>
      </w:pPr>
      <w:r w:rsidRPr="00962555">
        <w:t>I trust, sia residenti che non residenti, limitatamente alle attività detenute per conto di soggetti residenti.</w:t>
      </w:r>
    </w:p>
    <w:p w14:paraId="74A05EEB" w14:textId="77777777" w:rsidR="00CC2207" w:rsidRDefault="00CC2207" w:rsidP="00CC2207">
      <w:pPr>
        <w:jc w:val="both"/>
      </w:pPr>
      <w:r w:rsidRPr="00962555">
        <w:t>Non sono invece tenuti alla compilazione del quadro RW i soggetti non residenti e le società di capitali, che dichiarano gli investimenti esteri secondo altre modalità.</w:t>
      </w:r>
    </w:p>
    <w:p w14:paraId="34B0CA96" w14:textId="2575AFB2" w:rsidR="00653841" w:rsidRPr="00653841" w:rsidRDefault="00A17AD9" w:rsidP="00A17AD9">
      <w:pPr>
        <w:jc w:val="both"/>
      </w:pPr>
      <w:r w:rsidRPr="00A17AD9">
        <w:t xml:space="preserve">Il tool </w:t>
      </w:r>
      <w:r w:rsidR="00A226EC">
        <w:rPr>
          <w:i/>
        </w:rPr>
        <w:t>Quadro RW_24_2025</w:t>
      </w:r>
      <w:r w:rsidRPr="00A17AD9">
        <w:t xml:space="preserve"> è stato sviluppato per facilitare la dichiarazione dei redditi delle persone fisiche. Tuttavia, molte delle considerazioni e dei calcoli in esso contenuti possono essere applicati anche ad altre categorie di contribuenti.</w:t>
      </w:r>
    </w:p>
    <w:p w14:paraId="281A36C1" w14:textId="4BFB655C" w:rsidR="00025A97" w:rsidRDefault="00025A97" w:rsidP="00025A97">
      <w:pPr>
        <w:jc w:val="both"/>
      </w:pPr>
      <w:r w:rsidRPr="00025A97">
        <w:t xml:space="preserve">A seconda della tipologia di beni o redditi esteri detenuti o movimentati, la compilazione dei quadri dichiarativi varia sensibilmente. </w:t>
      </w:r>
      <w:r w:rsidRPr="001874E8">
        <w:rPr>
          <w:b/>
          <w:bCs/>
        </w:rPr>
        <w:t>In presenza di beni detenuti all’estero in qualità di titolare o anche solo di delegato, compresi cripto-asset, è necessario compilare il quadro RW per il monitoraggio fiscale</w:t>
      </w:r>
      <w:r w:rsidRPr="00025A97">
        <w:t xml:space="preserve">, indicando la natura e il valore delle attività. </w:t>
      </w:r>
    </w:p>
    <w:p w14:paraId="4D255847" w14:textId="31444F32" w:rsidR="00025A97" w:rsidRDefault="00025A97" w:rsidP="00025A97">
      <w:pPr>
        <w:jc w:val="both"/>
      </w:pPr>
      <w:r>
        <w:lastRenderedPageBreak/>
        <w:t xml:space="preserve">Il tool </w:t>
      </w:r>
      <w:r w:rsidR="00A226EC">
        <w:rPr>
          <w:i/>
          <w:iCs/>
        </w:rPr>
        <w:t>Quadro RW_24_2025</w:t>
      </w:r>
      <w:r w:rsidR="005C3370">
        <w:rPr>
          <w:i/>
          <w:iCs/>
        </w:rPr>
        <w:t xml:space="preserve"> </w:t>
      </w:r>
      <w:r>
        <w:t>cerca di orientare il contribuente in questo labirinto ponendo semplici quesiti.</w:t>
      </w:r>
    </w:p>
    <w:p w14:paraId="50BC8F43" w14:textId="77777777" w:rsidR="005D1A80" w:rsidRDefault="005D1A80" w:rsidP="005D1A80">
      <w:pPr>
        <w:keepNext/>
        <w:jc w:val="both"/>
      </w:pPr>
      <w:r>
        <w:rPr>
          <w:noProof/>
        </w:rPr>
        <w:drawing>
          <wp:inline distT="0" distB="0" distL="0" distR="0" wp14:anchorId="572D0703" wp14:editId="3D3EA3DC">
            <wp:extent cx="4607560" cy="2440305"/>
            <wp:effectExtent l="19050" t="19050" r="21590" b="17145"/>
            <wp:docPr id="345248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7560" cy="2440305"/>
                    </a:xfrm>
                    <a:prstGeom prst="rect">
                      <a:avLst/>
                    </a:prstGeom>
                    <a:noFill/>
                    <a:ln>
                      <a:solidFill>
                        <a:schemeClr val="accent1"/>
                      </a:solidFill>
                    </a:ln>
                  </pic:spPr>
                </pic:pic>
              </a:graphicData>
            </a:graphic>
          </wp:inline>
        </w:drawing>
      </w:r>
    </w:p>
    <w:p w14:paraId="7C1F9DE2" w14:textId="3252A1E3" w:rsidR="00025A97" w:rsidRDefault="005D1A80" w:rsidP="005D1A80">
      <w:pPr>
        <w:pStyle w:val="Didascalia"/>
        <w:jc w:val="both"/>
      </w:pPr>
      <w:r>
        <w:t xml:space="preserve">Figura </w:t>
      </w:r>
      <w:fldSimple w:instr=" SEQ Figura \* ARABIC ">
        <w:r w:rsidR="00153573">
          <w:rPr>
            <w:noProof/>
          </w:rPr>
          <w:t>1</w:t>
        </w:r>
      </w:fldSimple>
      <w:r>
        <w:t>: Le domande per la scelta dei quadri da compilare</w:t>
      </w:r>
    </w:p>
    <w:p w14:paraId="1ABA4EC5" w14:textId="2032FD15" w:rsidR="00A05369" w:rsidRDefault="005D1A80" w:rsidP="00025A97">
      <w:pPr>
        <w:jc w:val="both"/>
      </w:pPr>
      <w:r>
        <w:t xml:space="preserve">A ciascuna spunta corrisponderà </w:t>
      </w:r>
      <w:r w:rsidR="00A05369">
        <w:t xml:space="preserve">un quadro da compilare o un calcolo da effettuare. </w:t>
      </w:r>
    </w:p>
    <w:p w14:paraId="0B5799C0" w14:textId="066C6ABE" w:rsidR="001E4627" w:rsidRPr="001E4627" w:rsidRDefault="003B646D" w:rsidP="001E4627">
      <w:pPr>
        <w:jc w:val="both"/>
      </w:pPr>
      <w:r>
        <w:t xml:space="preserve">Partiamo dal caso più semplice: </w:t>
      </w:r>
      <w:r w:rsidR="00DA072F">
        <w:t xml:space="preserve">il </w:t>
      </w:r>
      <w:r w:rsidR="001E4627" w:rsidRPr="001E4627">
        <w:t xml:space="preserve">titolare o delegato alla gestione di conti correnti, </w:t>
      </w:r>
      <w:r w:rsidR="005C7CE1">
        <w:t xml:space="preserve">attività finanziarie </w:t>
      </w:r>
      <w:r w:rsidR="001E4627" w:rsidRPr="001E4627">
        <w:t>situati all'estero o criptovalute su piattaforme deve compilare il quadro RW indicando il valore convertito in euro al cambio medio annuo pubblicato dalla Banca d'Italia. L’obbligo riguarda anche coloro che hanno una delega su conti non direttamente intestati.</w:t>
      </w:r>
    </w:p>
    <w:p w14:paraId="38F26240" w14:textId="77777777" w:rsidR="001F191B" w:rsidRDefault="001F191B" w:rsidP="001F191B">
      <w:pPr>
        <w:keepNext/>
        <w:jc w:val="both"/>
      </w:pPr>
      <w:r>
        <w:rPr>
          <w:noProof/>
        </w:rPr>
        <w:drawing>
          <wp:inline distT="0" distB="0" distL="0" distR="0" wp14:anchorId="78526520" wp14:editId="4F1F7414">
            <wp:extent cx="6109970" cy="1971040"/>
            <wp:effectExtent l="19050" t="19050" r="24130" b="10160"/>
            <wp:docPr id="20104200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9970" cy="1971040"/>
                    </a:xfrm>
                    <a:prstGeom prst="rect">
                      <a:avLst/>
                    </a:prstGeom>
                    <a:noFill/>
                    <a:ln>
                      <a:solidFill>
                        <a:schemeClr val="accent1"/>
                      </a:solidFill>
                    </a:ln>
                  </pic:spPr>
                </pic:pic>
              </a:graphicData>
            </a:graphic>
          </wp:inline>
        </w:drawing>
      </w:r>
    </w:p>
    <w:p w14:paraId="4AC4C957" w14:textId="1C1A4867" w:rsidR="00ED0735" w:rsidRDefault="001F191B" w:rsidP="001F191B">
      <w:pPr>
        <w:pStyle w:val="Didascalia"/>
        <w:jc w:val="both"/>
      </w:pPr>
      <w:r>
        <w:t xml:space="preserve">Figura </w:t>
      </w:r>
      <w:fldSimple w:instr=" SEQ Figura \* ARABIC ">
        <w:r w:rsidR="00153573">
          <w:rPr>
            <w:noProof/>
          </w:rPr>
          <w:t>2</w:t>
        </w:r>
      </w:fldSimple>
      <w:r>
        <w:t>: Il caso di solo possesso o delega</w:t>
      </w:r>
    </w:p>
    <w:p w14:paraId="78C87522" w14:textId="2B087119" w:rsidR="00484408" w:rsidRDefault="001F191B" w:rsidP="00025A97">
      <w:pPr>
        <w:jc w:val="both"/>
      </w:pPr>
      <w:r>
        <w:t>Se non ricorre nessun</w:t>
      </w:r>
      <w:r w:rsidR="003B646D">
        <w:t xml:space="preserve">’altra </w:t>
      </w:r>
      <w:r>
        <w:t xml:space="preserve">delle ipotesi </w:t>
      </w:r>
      <w:r w:rsidR="003B646D">
        <w:t xml:space="preserve">indicate il soggetto è obbligato alla sola compilazione del quadro RW </w:t>
      </w:r>
      <w:r w:rsidR="00EC668F">
        <w:t xml:space="preserve">(o W per chi compila il modello 730/2025) </w:t>
      </w:r>
      <w:r w:rsidR="003B646D">
        <w:t>come chiaramente indicato nella figura.</w:t>
      </w:r>
      <w:r w:rsidR="00A93C40">
        <w:t xml:space="preserve"> </w:t>
      </w:r>
      <w:r w:rsidR="00317954" w:rsidRPr="00DA072F">
        <w:rPr>
          <w:b/>
          <w:bCs/>
        </w:rPr>
        <w:t xml:space="preserve">In caso di </w:t>
      </w:r>
      <w:r w:rsidR="00123E21" w:rsidRPr="00DA072F">
        <w:rPr>
          <w:b/>
          <w:bCs/>
        </w:rPr>
        <w:t xml:space="preserve">titolarità </w:t>
      </w:r>
      <w:r w:rsidR="00317954" w:rsidRPr="00DA072F">
        <w:rPr>
          <w:b/>
          <w:bCs/>
        </w:rPr>
        <w:t xml:space="preserve">di immobili </w:t>
      </w:r>
      <w:r w:rsidR="00EC668F" w:rsidRPr="00DA072F">
        <w:rPr>
          <w:b/>
          <w:bCs/>
        </w:rPr>
        <w:t xml:space="preserve">avremo sempre solo l’obbligo di compilazione </w:t>
      </w:r>
      <w:r w:rsidR="00A17AD9">
        <w:rPr>
          <w:b/>
          <w:bCs/>
        </w:rPr>
        <w:t xml:space="preserve">del </w:t>
      </w:r>
      <w:r w:rsidR="00EC668F" w:rsidRPr="00DA072F">
        <w:rPr>
          <w:b/>
          <w:bCs/>
        </w:rPr>
        <w:t xml:space="preserve">quadro RW </w:t>
      </w:r>
      <w:r w:rsidR="003074D5" w:rsidRPr="00DA072F">
        <w:rPr>
          <w:b/>
          <w:bCs/>
        </w:rPr>
        <w:t>ma occorrerà calcolare anche l’IVIE</w:t>
      </w:r>
      <w:r w:rsidR="003255C0">
        <w:t xml:space="preserve">, mentre, </w:t>
      </w:r>
      <w:r w:rsidR="003255C0" w:rsidRPr="00A17AD9">
        <w:rPr>
          <w:b/>
          <w:bCs/>
        </w:rPr>
        <w:t>nel caso vi siano stat</w:t>
      </w:r>
      <w:r w:rsidR="00123E21" w:rsidRPr="00A17AD9">
        <w:rPr>
          <w:b/>
          <w:bCs/>
        </w:rPr>
        <w:t>e attività finanziarie</w:t>
      </w:r>
      <w:r w:rsidR="003359E5" w:rsidRPr="00A17AD9">
        <w:rPr>
          <w:b/>
          <w:bCs/>
        </w:rPr>
        <w:t>,</w:t>
      </w:r>
      <w:r w:rsidR="00123E21" w:rsidRPr="00A17AD9">
        <w:rPr>
          <w:b/>
          <w:bCs/>
        </w:rPr>
        <w:t xml:space="preserve"> diverse da </w:t>
      </w:r>
      <w:r w:rsidR="00A93C40" w:rsidRPr="00A17AD9">
        <w:rPr>
          <w:b/>
          <w:bCs/>
        </w:rPr>
        <w:t>conti correnti sottosoglia</w:t>
      </w:r>
      <w:r w:rsidR="003359E5" w:rsidRPr="00A17AD9">
        <w:rPr>
          <w:b/>
          <w:bCs/>
        </w:rPr>
        <w:t>,</w:t>
      </w:r>
      <w:r w:rsidR="00A93C40" w:rsidRPr="00A17AD9">
        <w:rPr>
          <w:b/>
          <w:bCs/>
        </w:rPr>
        <w:t xml:space="preserve"> </w:t>
      </w:r>
      <w:r w:rsidR="006C142C" w:rsidRPr="00A17AD9">
        <w:rPr>
          <w:b/>
          <w:bCs/>
        </w:rPr>
        <w:t>occorrerà anche calcolare l’IVAFE</w:t>
      </w:r>
      <w:r w:rsidR="006C142C">
        <w:t xml:space="preserve">. </w:t>
      </w:r>
    </w:p>
    <w:p w14:paraId="486CBE75" w14:textId="3270CE83" w:rsidR="00A644D6" w:rsidRDefault="00F93A27" w:rsidP="00A644D6">
      <w:pPr>
        <w:keepNext/>
        <w:jc w:val="both"/>
      </w:pPr>
      <w:r>
        <w:rPr>
          <w:noProof/>
        </w:rPr>
        <w:lastRenderedPageBreak/>
        <w:drawing>
          <wp:inline distT="0" distB="0" distL="0" distR="0" wp14:anchorId="2CAF394E" wp14:editId="6EC726FB">
            <wp:extent cx="6120130" cy="1967230"/>
            <wp:effectExtent l="19050" t="19050" r="13970" b="13970"/>
            <wp:docPr id="1331054544" name="Immagine 1" descr="Immagine che contiene testo, Carattere, numer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4544" name="Immagine 1" descr="Immagine che contiene testo, Carattere, numero, schermata&#10;&#10;Il contenuto generato dall'IA potrebbe non essere corretto."/>
                    <pic:cNvPicPr/>
                  </pic:nvPicPr>
                  <pic:blipFill>
                    <a:blip r:embed="rId10"/>
                    <a:stretch>
                      <a:fillRect/>
                    </a:stretch>
                  </pic:blipFill>
                  <pic:spPr>
                    <a:xfrm>
                      <a:off x="0" y="0"/>
                      <a:ext cx="6120130" cy="1967230"/>
                    </a:xfrm>
                    <a:prstGeom prst="rect">
                      <a:avLst/>
                    </a:prstGeom>
                    <a:ln>
                      <a:solidFill>
                        <a:schemeClr val="accent1"/>
                      </a:solidFill>
                    </a:ln>
                  </pic:spPr>
                </pic:pic>
              </a:graphicData>
            </a:graphic>
          </wp:inline>
        </w:drawing>
      </w:r>
    </w:p>
    <w:p w14:paraId="54266D67" w14:textId="5951491D" w:rsidR="00A644D6" w:rsidRDefault="00A644D6" w:rsidP="00A644D6">
      <w:pPr>
        <w:pStyle w:val="Didascalia"/>
        <w:jc w:val="both"/>
      </w:pPr>
      <w:r>
        <w:t xml:space="preserve">Figura </w:t>
      </w:r>
      <w:fldSimple w:instr=" SEQ Figura \* ARABIC ">
        <w:r w:rsidR="00153573">
          <w:rPr>
            <w:noProof/>
          </w:rPr>
          <w:t>3</w:t>
        </w:r>
      </w:fldSimple>
      <w:r>
        <w:t>: Il caso di titolarità di attività finanziarie e immobili</w:t>
      </w:r>
    </w:p>
    <w:p w14:paraId="5E7EB437" w14:textId="5EE5B5C7" w:rsidR="004B49E1" w:rsidRDefault="004B49E1" w:rsidP="004B49E1">
      <w:pPr>
        <w:jc w:val="both"/>
      </w:pPr>
      <w:r w:rsidRPr="00962555">
        <w:t>Il perimetro delle attività da indicare in RW è estremamente ampio e soggetto a frequenti aggiornamenti. Devono essere dichiarat</w:t>
      </w:r>
      <w:r w:rsidR="00974A5C">
        <w:t>i</w:t>
      </w:r>
      <w:r w:rsidRPr="00962555">
        <w:t>, a titolo esemplificativo e non esaustivo:</w:t>
      </w:r>
    </w:p>
    <w:p w14:paraId="3DD497FF" w14:textId="77777777" w:rsidR="004B49E1" w:rsidRDefault="004B49E1" w:rsidP="004B49E1">
      <w:pPr>
        <w:pStyle w:val="Paragrafoelenco"/>
        <w:numPr>
          <w:ilvl w:val="0"/>
          <w:numId w:val="2"/>
        </w:numPr>
        <w:jc w:val="both"/>
      </w:pPr>
      <w:r w:rsidRPr="00962555">
        <w:t>Conti correnti e depositi esteri;</w:t>
      </w:r>
    </w:p>
    <w:p w14:paraId="1FD7DF57" w14:textId="77777777" w:rsidR="004B49E1" w:rsidRDefault="004B49E1" w:rsidP="004B49E1">
      <w:pPr>
        <w:pStyle w:val="Paragrafoelenco"/>
        <w:numPr>
          <w:ilvl w:val="0"/>
          <w:numId w:val="2"/>
        </w:numPr>
        <w:jc w:val="both"/>
      </w:pPr>
      <w:r w:rsidRPr="00962555">
        <w:t>Azioni, obbligazioni, titoli pubblici e privati esteri;</w:t>
      </w:r>
    </w:p>
    <w:p w14:paraId="379FCDF2" w14:textId="77777777" w:rsidR="004B49E1" w:rsidRDefault="004B49E1" w:rsidP="004B49E1">
      <w:pPr>
        <w:pStyle w:val="Paragrafoelenco"/>
        <w:numPr>
          <w:ilvl w:val="0"/>
          <w:numId w:val="2"/>
        </w:numPr>
        <w:jc w:val="both"/>
      </w:pPr>
      <w:r w:rsidRPr="00962555">
        <w:t>Quote di fondi comuni d’investimento esteri;</w:t>
      </w:r>
    </w:p>
    <w:p w14:paraId="08AC7F61" w14:textId="77777777" w:rsidR="004B49E1" w:rsidRDefault="004B49E1" w:rsidP="004B49E1">
      <w:pPr>
        <w:pStyle w:val="Paragrafoelenco"/>
        <w:numPr>
          <w:ilvl w:val="0"/>
          <w:numId w:val="2"/>
        </w:numPr>
        <w:jc w:val="both"/>
      </w:pPr>
      <w:r w:rsidRPr="00962555">
        <w:t>Partecipazioni in società non residenti;</w:t>
      </w:r>
    </w:p>
    <w:p w14:paraId="5C9F6422" w14:textId="77777777" w:rsidR="004B49E1" w:rsidRDefault="004B49E1" w:rsidP="004B49E1">
      <w:pPr>
        <w:pStyle w:val="Paragrafoelenco"/>
        <w:numPr>
          <w:ilvl w:val="0"/>
          <w:numId w:val="2"/>
        </w:numPr>
        <w:jc w:val="both"/>
      </w:pPr>
      <w:r w:rsidRPr="00962555">
        <w:t>Immobili ubicati all’estero;</w:t>
      </w:r>
    </w:p>
    <w:p w14:paraId="69D15985" w14:textId="77777777" w:rsidR="004B49E1" w:rsidRDefault="004B49E1" w:rsidP="004B49E1">
      <w:pPr>
        <w:pStyle w:val="Paragrafoelenco"/>
        <w:numPr>
          <w:ilvl w:val="0"/>
          <w:numId w:val="2"/>
        </w:numPr>
        <w:jc w:val="both"/>
      </w:pPr>
      <w:r w:rsidRPr="00962555">
        <w:t>Polizze assicurative di tipo finanziario stipulate con compagnie estere;</w:t>
      </w:r>
    </w:p>
    <w:p w14:paraId="1F64361C" w14:textId="77777777" w:rsidR="004B49E1" w:rsidRDefault="004B49E1" w:rsidP="004B49E1">
      <w:pPr>
        <w:pStyle w:val="Paragrafoelenco"/>
        <w:numPr>
          <w:ilvl w:val="0"/>
          <w:numId w:val="2"/>
        </w:numPr>
        <w:jc w:val="both"/>
      </w:pPr>
      <w:r w:rsidRPr="00962555">
        <w:t>Criptovalute e attività digitali assimilate;</w:t>
      </w:r>
    </w:p>
    <w:p w14:paraId="627C8E23" w14:textId="77777777" w:rsidR="004B49E1" w:rsidRDefault="004B49E1" w:rsidP="004B49E1">
      <w:pPr>
        <w:pStyle w:val="Paragrafoelenco"/>
        <w:numPr>
          <w:ilvl w:val="0"/>
          <w:numId w:val="2"/>
        </w:numPr>
        <w:jc w:val="both"/>
      </w:pPr>
      <w:r w:rsidRPr="00962555">
        <w:t>Opere d’arte, oggetti preziosi e altri beni di valore detenuti fuori dall’Italia.</w:t>
      </w:r>
    </w:p>
    <w:p w14:paraId="5F65B6DF" w14:textId="76462106" w:rsidR="004B49E1" w:rsidRDefault="004B49E1" w:rsidP="004B49E1">
      <w:pPr>
        <w:jc w:val="both"/>
      </w:pPr>
      <w:r w:rsidRPr="00962555">
        <w:t>La casistica si arricchisce ogni anno di nuove interpretazioni, soprattutto con riferimento alle attività digitali. In particolare</w:t>
      </w:r>
      <w:r w:rsidR="0007044C">
        <w:t>,</w:t>
      </w:r>
      <w:r w:rsidRPr="00962555">
        <w:t xml:space="preserve"> anche le criptovalute e i wallet digitali sono soggetti all’obbligo di monitoraggio,</w:t>
      </w:r>
      <w:r w:rsidR="0007044C">
        <w:t xml:space="preserve"> se </w:t>
      </w:r>
      <w:r w:rsidR="00A50713">
        <w:t>superano la soglia di 5</w:t>
      </w:r>
      <w:r w:rsidR="00CA19E9">
        <w:t>.</w:t>
      </w:r>
      <w:r w:rsidR="00A50713">
        <w:t>000 euro,</w:t>
      </w:r>
      <w:r w:rsidRPr="00962555">
        <w:t xml:space="preserve"> generando ulteriori criticità operative.</w:t>
      </w:r>
    </w:p>
    <w:p w14:paraId="345DC7C7" w14:textId="0087E44E" w:rsidR="009731A2" w:rsidRDefault="009731A2" w:rsidP="00BC2AF0">
      <w:pPr>
        <w:jc w:val="both"/>
      </w:pPr>
      <w:r w:rsidRPr="0067129F">
        <w:rPr>
          <w:b/>
          <w:bCs/>
        </w:rPr>
        <w:t>I</w:t>
      </w:r>
      <w:r w:rsidR="00E65C81" w:rsidRPr="0067129F">
        <w:rPr>
          <w:b/>
          <w:bCs/>
        </w:rPr>
        <w:t>l</w:t>
      </w:r>
      <w:r w:rsidRPr="0067129F">
        <w:rPr>
          <w:b/>
          <w:bCs/>
        </w:rPr>
        <w:t xml:space="preserve"> valor</w:t>
      </w:r>
      <w:r w:rsidR="00E65C81" w:rsidRPr="0067129F">
        <w:rPr>
          <w:b/>
          <w:bCs/>
        </w:rPr>
        <w:t>e</w:t>
      </w:r>
      <w:r w:rsidRPr="0067129F">
        <w:rPr>
          <w:b/>
          <w:bCs/>
        </w:rPr>
        <w:t xml:space="preserve"> da indicare </w:t>
      </w:r>
      <w:r w:rsidR="00BF4E36" w:rsidRPr="0067129F">
        <w:rPr>
          <w:b/>
          <w:bCs/>
        </w:rPr>
        <w:t xml:space="preserve">e riportare </w:t>
      </w:r>
      <w:r w:rsidR="00C2595D" w:rsidRPr="0067129F">
        <w:rPr>
          <w:b/>
          <w:bCs/>
        </w:rPr>
        <w:t xml:space="preserve">nel quadro RW coincide con </w:t>
      </w:r>
      <w:r w:rsidR="00A26435" w:rsidRPr="0067129F">
        <w:rPr>
          <w:b/>
          <w:bCs/>
        </w:rPr>
        <w:t xml:space="preserve">il valore di mercato delle attività al termine del periodo d'imposta </w:t>
      </w:r>
      <w:r w:rsidR="00C770A4" w:rsidRPr="0067129F">
        <w:rPr>
          <w:b/>
          <w:bCs/>
        </w:rPr>
        <w:t>o alla data di disinvestimento se inferiore</w:t>
      </w:r>
      <w:r w:rsidR="00E65C81" w:rsidRPr="0067129F">
        <w:rPr>
          <w:b/>
          <w:bCs/>
        </w:rPr>
        <w:t>.</w:t>
      </w:r>
      <w:r w:rsidR="00BC2AF0" w:rsidRPr="00BC2AF0">
        <w:t xml:space="preserve"> </w:t>
      </w:r>
      <w:r w:rsidR="00973E69">
        <w:t xml:space="preserve">Detto </w:t>
      </w:r>
      <w:r w:rsidR="00A26435" w:rsidRPr="00A26435">
        <w:t>valore va espresso in euro utilizzando il cambio medio annuale pubblicato dalla Banca d’Italia, indipendentemente dalla valuta originale in cui sono espresse le attività finanziarie</w:t>
      </w:r>
      <w:r w:rsidR="003E20E8">
        <w:t xml:space="preserve">, il Tool </w:t>
      </w:r>
      <w:r w:rsidR="00A226EC">
        <w:rPr>
          <w:i/>
          <w:iCs/>
        </w:rPr>
        <w:t>Quadro RW_24_2025</w:t>
      </w:r>
      <w:r w:rsidR="00D40A65">
        <w:rPr>
          <w:i/>
          <w:iCs/>
        </w:rPr>
        <w:t>.</w:t>
      </w:r>
      <w:r w:rsidR="007F6CBF">
        <w:rPr>
          <w:i/>
          <w:iCs/>
        </w:rPr>
        <w:t xml:space="preserve"> </w:t>
      </w:r>
    </w:p>
    <w:p w14:paraId="40CDF0DC" w14:textId="00CEF3EA" w:rsidR="00F80AA0" w:rsidRPr="00F80AA0" w:rsidRDefault="00E334C2" w:rsidP="00F80AA0">
      <w:pPr>
        <w:jc w:val="both"/>
      </w:pPr>
      <w:r>
        <w:t xml:space="preserve">Laddove sussistano </w:t>
      </w:r>
      <w:r w:rsidR="00F80AA0" w:rsidRPr="00F80AA0">
        <w:t xml:space="preserve">operazioni della stessa natura, </w:t>
      </w:r>
      <w:r w:rsidR="00F80AA0" w:rsidRPr="00F80AA0">
        <w:rPr>
          <w:b/>
          <w:bCs/>
        </w:rPr>
        <w:t>il contribuente può aggregare i dati</w:t>
      </w:r>
      <w:r w:rsidR="00F80AA0" w:rsidRPr="00F80AA0">
        <w:t xml:space="preserve"> per indicare un insieme di attività finanziarie omogenee caratterizzate dagli stessi codici "investimento" e "Stato Estero".</w:t>
      </w:r>
    </w:p>
    <w:p w14:paraId="1EC5D12A" w14:textId="77777777" w:rsidR="00A61F1C" w:rsidRPr="00F80AA0" w:rsidRDefault="00A61F1C" w:rsidP="00A61F1C">
      <w:pPr>
        <w:jc w:val="both"/>
      </w:pPr>
      <w:r w:rsidRPr="00F80AA0">
        <w:t>L'importo da indicare nel quadro è prioritariamente pari al valore che risulta dal documento di rendicontazione predisposto dall'istituto finanziario estero o al valore di mercato, a condizione che siano coincidenti.</w:t>
      </w:r>
    </w:p>
    <w:p w14:paraId="379E0210" w14:textId="309DA63D" w:rsidR="00F80AA0" w:rsidRPr="00F80AA0" w:rsidRDefault="00F80AA0" w:rsidP="00F80AA0">
      <w:pPr>
        <w:jc w:val="both"/>
      </w:pPr>
      <w:r w:rsidRPr="00F80AA0">
        <w:t>In tal caso il contribuente indicherà nel quadro RW:</w:t>
      </w:r>
    </w:p>
    <w:p w14:paraId="43C1E6FF" w14:textId="77777777" w:rsidR="00F80AA0" w:rsidRPr="00F80AA0" w:rsidRDefault="00F80AA0" w:rsidP="00F80AA0">
      <w:pPr>
        <w:numPr>
          <w:ilvl w:val="0"/>
          <w:numId w:val="7"/>
        </w:numPr>
        <w:jc w:val="both"/>
      </w:pPr>
      <w:r w:rsidRPr="00F80AA0">
        <w:t>I valori complessivi iniziali e finali del periodo d'imposta</w:t>
      </w:r>
    </w:p>
    <w:p w14:paraId="00C78D8C" w14:textId="77777777" w:rsidR="00F80AA0" w:rsidRPr="00F80AA0" w:rsidRDefault="00F80AA0" w:rsidP="00F80AA0">
      <w:pPr>
        <w:numPr>
          <w:ilvl w:val="0"/>
          <w:numId w:val="7"/>
        </w:numPr>
        <w:jc w:val="both"/>
      </w:pPr>
      <w:r w:rsidRPr="00F80AA0">
        <w:lastRenderedPageBreak/>
        <w:t>La media ponderata dei giorni di detenzione di ogni singola attività rapportati alla relativa consistenza</w:t>
      </w:r>
    </w:p>
    <w:p w14:paraId="028DDD39" w14:textId="55F9583B" w:rsidR="00F80AA0" w:rsidRPr="00F80AA0" w:rsidRDefault="00F80AA0" w:rsidP="00F80AA0">
      <w:pPr>
        <w:jc w:val="both"/>
      </w:pPr>
      <w:r w:rsidRPr="00F80AA0">
        <w:t xml:space="preserve">Il contribuente deve </w:t>
      </w:r>
      <w:r w:rsidR="002E7C26" w:rsidRPr="0067129F">
        <w:t xml:space="preserve">però </w:t>
      </w:r>
      <w:r w:rsidRPr="00F80AA0">
        <w:t xml:space="preserve">avere cura di predisporre e conservare </w:t>
      </w:r>
      <w:r w:rsidRPr="00F80AA0">
        <w:rPr>
          <w:b/>
          <w:bCs/>
        </w:rPr>
        <w:t>un apposito prospetto in cui devono essere specificati i valori delle singole attività</w:t>
      </w:r>
      <w:r w:rsidRPr="00F80AA0">
        <w:t>. Questo prospetto deve essere esibito o trasmesso</w:t>
      </w:r>
      <w:r w:rsidR="005112F8">
        <w:t xml:space="preserve">, </w:t>
      </w:r>
      <w:r w:rsidRPr="00F80AA0">
        <w:t>s</w:t>
      </w:r>
      <w:r w:rsidR="005112F8">
        <w:t>e</w:t>
      </w:r>
      <w:r w:rsidRPr="00F80AA0">
        <w:t xml:space="preserve"> richiest</w:t>
      </w:r>
      <w:r w:rsidR="005112F8">
        <w:t>o,</w:t>
      </w:r>
      <w:r w:rsidRPr="00F80AA0">
        <w:t xml:space="preserve"> all'amministrazione finanziaria.</w:t>
      </w:r>
    </w:p>
    <w:p w14:paraId="30E50160" w14:textId="695E93A7" w:rsidR="006744D4" w:rsidRDefault="00A61F1C" w:rsidP="004B49E1">
      <w:pPr>
        <w:jc w:val="both"/>
      </w:pPr>
      <w:r>
        <w:t xml:space="preserve">Il tool </w:t>
      </w:r>
      <w:r w:rsidR="00A226EC">
        <w:rPr>
          <w:i/>
          <w:iCs/>
        </w:rPr>
        <w:t>Quadro RW_24_2025</w:t>
      </w:r>
      <w:r w:rsidR="00261E87">
        <w:t xml:space="preserve"> è predisposto sia per il calcolo del valore in via analitica che per la predisposizione del prospetto </w:t>
      </w:r>
      <w:r w:rsidR="0058277B">
        <w:t>richiesto dall’Amministrazione Finanziaria</w:t>
      </w:r>
      <w:r w:rsidR="005D12D8">
        <w:t>, come si vedrà in seguito.</w:t>
      </w:r>
    </w:p>
    <w:p w14:paraId="5B4BAADD" w14:textId="35233EEB" w:rsidR="009731A2" w:rsidRDefault="001F7B85" w:rsidP="009731A2">
      <w:pPr>
        <w:pStyle w:val="Titolo1"/>
        <w:jc w:val="both"/>
      </w:pPr>
      <w:r>
        <w:t>Q</w:t>
      </w:r>
      <w:r w:rsidR="009731A2">
        <w:t xml:space="preserve">uando </w:t>
      </w:r>
      <w:r w:rsidR="00923056">
        <w:t xml:space="preserve">occorrono </w:t>
      </w:r>
      <w:r w:rsidR="0058277B">
        <w:t>i quadri reddituali</w:t>
      </w:r>
    </w:p>
    <w:p w14:paraId="5FDF7A0F" w14:textId="61C476F8" w:rsidR="00B26787" w:rsidRDefault="00B26787" w:rsidP="004B49E1">
      <w:pPr>
        <w:jc w:val="both"/>
      </w:pPr>
      <w:r>
        <w:t xml:space="preserve">Nel caso i beni </w:t>
      </w:r>
      <w:r w:rsidR="0058277B">
        <w:t xml:space="preserve">abbiano prodotto </w:t>
      </w:r>
      <w:r w:rsidR="005A6E8B">
        <w:t xml:space="preserve">redditi imponibili, </w:t>
      </w:r>
      <w:r w:rsidR="005A6E8B" w:rsidRPr="001F7B85">
        <w:rPr>
          <w:b/>
          <w:bCs/>
        </w:rPr>
        <w:t>per il principio di attrazione mondiale del reddito</w:t>
      </w:r>
      <w:r w:rsidR="005A6E8B">
        <w:t xml:space="preserve">, occorrerà </w:t>
      </w:r>
      <w:r w:rsidR="002833A6">
        <w:t xml:space="preserve">compilare i </w:t>
      </w:r>
      <w:r w:rsidR="00AB6A25">
        <w:t xml:space="preserve">quadri della dichiarazione dei </w:t>
      </w:r>
      <w:r w:rsidR="002833A6">
        <w:t xml:space="preserve">redditi previsti per </w:t>
      </w:r>
      <w:r w:rsidR="00AB6A25">
        <w:t>dividendi, interessi e plusvalenze.</w:t>
      </w:r>
    </w:p>
    <w:p w14:paraId="6DECB9EC" w14:textId="77777777" w:rsidR="009863B5" w:rsidRDefault="00907E1C" w:rsidP="009863B5">
      <w:pPr>
        <w:keepNext/>
        <w:jc w:val="both"/>
      </w:pPr>
      <w:r>
        <w:rPr>
          <w:noProof/>
        </w:rPr>
        <w:drawing>
          <wp:inline distT="0" distB="0" distL="0" distR="0" wp14:anchorId="33BA7339" wp14:editId="01CB42FF">
            <wp:extent cx="6115685" cy="2885440"/>
            <wp:effectExtent l="19050" t="19050" r="18415" b="10160"/>
            <wp:docPr id="7787404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685" cy="2885440"/>
                    </a:xfrm>
                    <a:prstGeom prst="rect">
                      <a:avLst/>
                    </a:prstGeom>
                    <a:noFill/>
                    <a:ln>
                      <a:solidFill>
                        <a:schemeClr val="accent1"/>
                      </a:solidFill>
                    </a:ln>
                  </pic:spPr>
                </pic:pic>
              </a:graphicData>
            </a:graphic>
          </wp:inline>
        </w:drawing>
      </w:r>
    </w:p>
    <w:p w14:paraId="77A9DA3E" w14:textId="48FFB35A" w:rsidR="004B49E1" w:rsidRDefault="009863B5" w:rsidP="009863B5">
      <w:pPr>
        <w:pStyle w:val="Didascalia"/>
        <w:jc w:val="both"/>
      </w:pPr>
      <w:r>
        <w:t xml:space="preserve">Figura </w:t>
      </w:r>
      <w:fldSimple w:instr=" SEQ Figura \* ARABIC ">
        <w:r w:rsidR="00153573">
          <w:rPr>
            <w:noProof/>
          </w:rPr>
          <w:t>4</w:t>
        </w:r>
      </w:fldSimple>
      <w:r>
        <w:t>: La presenza di redditi</w:t>
      </w:r>
    </w:p>
    <w:p w14:paraId="3D9AD62D" w14:textId="2930F236" w:rsidR="004B49E1" w:rsidRDefault="00201B88" w:rsidP="00025A97">
      <w:pPr>
        <w:jc w:val="both"/>
      </w:pPr>
      <w:r>
        <w:t xml:space="preserve">Il tool guida nella compilazione dei prospetti che consentono i calcoli corretti. </w:t>
      </w:r>
    </w:p>
    <w:p w14:paraId="1B665C9B" w14:textId="00899517" w:rsidR="001F7B85" w:rsidRDefault="001F7B85" w:rsidP="001F7B85">
      <w:pPr>
        <w:pStyle w:val="Titolo3"/>
      </w:pPr>
      <w:r>
        <w:t xml:space="preserve">Il calcolo delle plusvalenze: il metodo LIFO </w:t>
      </w:r>
    </w:p>
    <w:p w14:paraId="44C21FEA" w14:textId="650B3C21" w:rsidR="00556BF5" w:rsidRDefault="007351E9" w:rsidP="00025A97">
      <w:pPr>
        <w:jc w:val="both"/>
      </w:pPr>
      <w:r>
        <w:t>Per quanto concerne le plusvalenze</w:t>
      </w:r>
      <w:r w:rsidR="000E4269">
        <w:t>, occorrerà l’applicazione del metodo LIFO</w:t>
      </w:r>
      <w:r w:rsidR="009D0B29">
        <w:t>;</w:t>
      </w:r>
      <w:r w:rsidR="000E4269">
        <w:t xml:space="preserve"> a tal riguardo si i</w:t>
      </w:r>
      <w:r w:rsidR="00EC0147">
        <w:t>potizzi che un certo titolo abbia avuto le seguenti transazioni</w:t>
      </w:r>
      <w:r w:rsidR="009E3F9D">
        <w:t>.</w:t>
      </w:r>
    </w:p>
    <w:p w14:paraId="171EC688" w14:textId="77777777" w:rsidR="00556BF5" w:rsidRDefault="00556BF5">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000"/>
        <w:gridCol w:w="776"/>
        <w:gridCol w:w="895"/>
        <w:gridCol w:w="2837"/>
      </w:tblGrid>
      <w:tr w:rsidR="00641BBA" w:rsidRPr="00641BBA" w14:paraId="0E0E79C5" w14:textId="77777777" w:rsidTr="00641BBA">
        <w:trPr>
          <w:tblHeader/>
          <w:tblCellSpacing w:w="15" w:type="dxa"/>
        </w:trPr>
        <w:tc>
          <w:tcPr>
            <w:tcW w:w="0" w:type="auto"/>
            <w:vAlign w:val="center"/>
            <w:hideMark/>
          </w:tcPr>
          <w:p w14:paraId="505E351F" w14:textId="77777777" w:rsidR="00641BBA" w:rsidRPr="00641BBA" w:rsidRDefault="00641BBA" w:rsidP="00641BBA">
            <w:pPr>
              <w:spacing w:line="240" w:lineRule="auto"/>
              <w:jc w:val="both"/>
              <w:rPr>
                <w:b/>
                <w:bCs/>
                <w:sz w:val="18"/>
                <w:szCs w:val="18"/>
              </w:rPr>
            </w:pPr>
            <w:r w:rsidRPr="00641BBA">
              <w:rPr>
                <w:b/>
                <w:bCs/>
                <w:sz w:val="18"/>
                <w:szCs w:val="18"/>
              </w:rPr>
              <w:lastRenderedPageBreak/>
              <w:t>Data</w:t>
            </w:r>
          </w:p>
        </w:tc>
        <w:tc>
          <w:tcPr>
            <w:tcW w:w="0" w:type="auto"/>
            <w:vAlign w:val="center"/>
            <w:hideMark/>
          </w:tcPr>
          <w:p w14:paraId="4928C6C5" w14:textId="77777777" w:rsidR="00641BBA" w:rsidRPr="00641BBA" w:rsidRDefault="00641BBA" w:rsidP="00641BBA">
            <w:pPr>
              <w:spacing w:line="240" w:lineRule="auto"/>
              <w:jc w:val="both"/>
              <w:rPr>
                <w:b/>
                <w:bCs/>
                <w:sz w:val="18"/>
                <w:szCs w:val="18"/>
              </w:rPr>
            </w:pPr>
            <w:r w:rsidRPr="00641BBA">
              <w:rPr>
                <w:b/>
                <w:bCs/>
                <w:sz w:val="18"/>
                <w:szCs w:val="18"/>
              </w:rPr>
              <w:t>Operazione</w:t>
            </w:r>
          </w:p>
        </w:tc>
        <w:tc>
          <w:tcPr>
            <w:tcW w:w="0" w:type="auto"/>
            <w:vAlign w:val="center"/>
            <w:hideMark/>
          </w:tcPr>
          <w:p w14:paraId="3C5E4B9C" w14:textId="77777777" w:rsidR="00641BBA" w:rsidRPr="00641BBA" w:rsidRDefault="00641BBA" w:rsidP="00641BBA">
            <w:pPr>
              <w:spacing w:line="240" w:lineRule="auto"/>
              <w:jc w:val="both"/>
              <w:rPr>
                <w:b/>
                <w:bCs/>
                <w:sz w:val="18"/>
                <w:szCs w:val="18"/>
              </w:rPr>
            </w:pPr>
            <w:r w:rsidRPr="00641BBA">
              <w:rPr>
                <w:b/>
                <w:bCs/>
                <w:sz w:val="18"/>
                <w:szCs w:val="18"/>
              </w:rPr>
              <w:t>Quantità</w:t>
            </w:r>
          </w:p>
        </w:tc>
        <w:tc>
          <w:tcPr>
            <w:tcW w:w="0" w:type="auto"/>
            <w:vAlign w:val="center"/>
            <w:hideMark/>
          </w:tcPr>
          <w:p w14:paraId="08876390" w14:textId="77777777" w:rsidR="00641BBA" w:rsidRPr="00641BBA" w:rsidRDefault="00641BBA" w:rsidP="00641BBA">
            <w:pPr>
              <w:spacing w:line="240" w:lineRule="auto"/>
              <w:jc w:val="both"/>
              <w:rPr>
                <w:b/>
                <w:bCs/>
                <w:sz w:val="18"/>
                <w:szCs w:val="18"/>
              </w:rPr>
            </w:pPr>
            <w:r w:rsidRPr="00641BBA">
              <w:rPr>
                <w:b/>
                <w:bCs/>
                <w:sz w:val="18"/>
                <w:szCs w:val="18"/>
              </w:rPr>
              <w:t>Prezzo €/q</w:t>
            </w:r>
          </w:p>
        </w:tc>
        <w:tc>
          <w:tcPr>
            <w:tcW w:w="0" w:type="auto"/>
            <w:vAlign w:val="center"/>
            <w:hideMark/>
          </w:tcPr>
          <w:p w14:paraId="4D032E27" w14:textId="77777777" w:rsidR="00641BBA" w:rsidRPr="00641BBA" w:rsidRDefault="00641BBA" w:rsidP="00641BBA">
            <w:pPr>
              <w:spacing w:line="240" w:lineRule="auto"/>
              <w:jc w:val="both"/>
              <w:rPr>
                <w:b/>
                <w:bCs/>
                <w:sz w:val="18"/>
                <w:szCs w:val="18"/>
              </w:rPr>
            </w:pPr>
            <w:r w:rsidRPr="00641BBA">
              <w:rPr>
                <w:b/>
                <w:bCs/>
                <w:sz w:val="18"/>
                <w:szCs w:val="18"/>
              </w:rPr>
              <w:t>Commento</w:t>
            </w:r>
          </w:p>
        </w:tc>
      </w:tr>
      <w:tr w:rsidR="00641BBA" w:rsidRPr="00641BBA" w14:paraId="52FCB50C" w14:textId="77777777" w:rsidTr="00641BBA">
        <w:trPr>
          <w:tblCellSpacing w:w="15" w:type="dxa"/>
        </w:trPr>
        <w:tc>
          <w:tcPr>
            <w:tcW w:w="0" w:type="auto"/>
            <w:vAlign w:val="center"/>
            <w:hideMark/>
          </w:tcPr>
          <w:p w14:paraId="5C6227BF" w14:textId="77777777" w:rsidR="00641BBA" w:rsidRPr="00641BBA" w:rsidRDefault="00641BBA" w:rsidP="00641BBA">
            <w:pPr>
              <w:spacing w:line="240" w:lineRule="auto"/>
              <w:jc w:val="both"/>
              <w:rPr>
                <w:sz w:val="18"/>
                <w:szCs w:val="18"/>
              </w:rPr>
            </w:pPr>
            <w:r w:rsidRPr="00641BBA">
              <w:rPr>
                <w:sz w:val="18"/>
                <w:szCs w:val="18"/>
              </w:rPr>
              <w:t>01/01/2024</w:t>
            </w:r>
          </w:p>
        </w:tc>
        <w:tc>
          <w:tcPr>
            <w:tcW w:w="0" w:type="auto"/>
            <w:vAlign w:val="center"/>
            <w:hideMark/>
          </w:tcPr>
          <w:p w14:paraId="3C9BB888" w14:textId="77777777" w:rsidR="00641BBA" w:rsidRPr="00641BBA" w:rsidRDefault="00641BBA" w:rsidP="00641BBA">
            <w:pPr>
              <w:spacing w:line="240" w:lineRule="auto"/>
              <w:jc w:val="both"/>
              <w:rPr>
                <w:sz w:val="18"/>
                <w:szCs w:val="18"/>
              </w:rPr>
            </w:pPr>
            <w:r w:rsidRPr="00641BBA">
              <w:rPr>
                <w:sz w:val="18"/>
                <w:szCs w:val="18"/>
              </w:rPr>
              <w:t>Acquisto</w:t>
            </w:r>
          </w:p>
        </w:tc>
        <w:tc>
          <w:tcPr>
            <w:tcW w:w="0" w:type="auto"/>
            <w:vAlign w:val="center"/>
            <w:hideMark/>
          </w:tcPr>
          <w:p w14:paraId="3D0313B2" w14:textId="77777777" w:rsidR="00641BBA" w:rsidRPr="00641BBA" w:rsidRDefault="00641BBA" w:rsidP="00641BBA">
            <w:pPr>
              <w:spacing w:line="240" w:lineRule="auto"/>
              <w:jc w:val="both"/>
              <w:rPr>
                <w:sz w:val="18"/>
                <w:szCs w:val="18"/>
              </w:rPr>
            </w:pPr>
            <w:r w:rsidRPr="00641BBA">
              <w:rPr>
                <w:sz w:val="18"/>
                <w:szCs w:val="18"/>
              </w:rPr>
              <w:t>100</w:t>
            </w:r>
          </w:p>
        </w:tc>
        <w:tc>
          <w:tcPr>
            <w:tcW w:w="0" w:type="auto"/>
            <w:vAlign w:val="center"/>
            <w:hideMark/>
          </w:tcPr>
          <w:p w14:paraId="3A1768C9" w14:textId="77777777" w:rsidR="00641BBA" w:rsidRPr="00641BBA" w:rsidRDefault="00641BBA" w:rsidP="00641BBA">
            <w:pPr>
              <w:spacing w:line="240" w:lineRule="auto"/>
              <w:jc w:val="both"/>
              <w:rPr>
                <w:sz w:val="18"/>
                <w:szCs w:val="18"/>
              </w:rPr>
            </w:pPr>
            <w:r w:rsidRPr="00641BBA">
              <w:rPr>
                <w:sz w:val="18"/>
                <w:szCs w:val="18"/>
              </w:rPr>
              <w:t>10,00</w:t>
            </w:r>
          </w:p>
        </w:tc>
        <w:tc>
          <w:tcPr>
            <w:tcW w:w="0" w:type="auto"/>
            <w:vAlign w:val="center"/>
            <w:hideMark/>
          </w:tcPr>
          <w:p w14:paraId="2F1BA7AF" w14:textId="77777777" w:rsidR="00641BBA" w:rsidRPr="00641BBA" w:rsidRDefault="00641BBA" w:rsidP="00641BBA">
            <w:pPr>
              <w:spacing w:line="240" w:lineRule="auto"/>
              <w:jc w:val="both"/>
              <w:rPr>
                <w:sz w:val="18"/>
                <w:szCs w:val="18"/>
              </w:rPr>
            </w:pPr>
            <w:r w:rsidRPr="00641BBA">
              <w:rPr>
                <w:sz w:val="18"/>
                <w:szCs w:val="18"/>
              </w:rPr>
              <w:t>Primo batch</w:t>
            </w:r>
          </w:p>
        </w:tc>
      </w:tr>
      <w:tr w:rsidR="00641BBA" w:rsidRPr="00641BBA" w14:paraId="6D27ED4A" w14:textId="77777777" w:rsidTr="00641BBA">
        <w:trPr>
          <w:tblCellSpacing w:w="15" w:type="dxa"/>
        </w:trPr>
        <w:tc>
          <w:tcPr>
            <w:tcW w:w="0" w:type="auto"/>
            <w:vAlign w:val="center"/>
            <w:hideMark/>
          </w:tcPr>
          <w:p w14:paraId="43BA6A58" w14:textId="77777777" w:rsidR="00641BBA" w:rsidRPr="00641BBA" w:rsidRDefault="00641BBA" w:rsidP="00641BBA">
            <w:pPr>
              <w:spacing w:line="240" w:lineRule="auto"/>
              <w:jc w:val="both"/>
              <w:rPr>
                <w:sz w:val="18"/>
                <w:szCs w:val="18"/>
              </w:rPr>
            </w:pPr>
            <w:r w:rsidRPr="00641BBA">
              <w:rPr>
                <w:sz w:val="18"/>
                <w:szCs w:val="18"/>
              </w:rPr>
              <w:t>15/03/2024</w:t>
            </w:r>
          </w:p>
        </w:tc>
        <w:tc>
          <w:tcPr>
            <w:tcW w:w="0" w:type="auto"/>
            <w:vAlign w:val="center"/>
            <w:hideMark/>
          </w:tcPr>
          <w:p w14:paraId="618E9BC4" w14:textId="77777777" w:rsidR="00641BBA" w:rsidRPr="00641BBA" w:rsidRDefault="00641BBA" w:rsidP="00641BBA">
            <w:pPr>
              <w:spacing w:line="240" w:lineRule="auto"/>
              <w:jc w:val="both"/>
              <w:rPr>
                <w:sz w:val="18"/>
                <w:szCs w:val="18"/>
              </w:rPr>
            </w:pPr>
            <w:r w:rsidRPr="00641BBA">
              <w:rPr>
                <w:sz w:val="18"/>
                <w:szCs w:val="18"/>
              </w:rPr>
              <w:t>Acquisto</w:t>
            </w:r>
          </w:p>
        </w:tc>
        <w:tc>
          <w:tcPr>
            <w:tcW w:w="0" w:type="auto"/>
            <w:vAlign w:val="center"/>
            <w:hideMark/>
          </w:tcPr>
          <w:p w14:paraId="36FA9A53" w14:textId="77777777" w:rsidR="00641BBA" w:rsidRPr="00641BBA" w:rsidRDefault="00641BBA" w:rsidP="00641BBA">
            <w:pPr>
              <w:spacing w:line="240" w:lineRule="auto"/>
              <w:jc w:val="both"/>
              <w:rPr>
                <w:sz w:val="18"/>
                <w:szCs w:val="18"/>
              </w:rPr>
            </w:pPr>
            <w:r w:rsidRPr="00641BBA">
              <w:rPr>
                <w:sz w:val="18"/>
                <w:szCs w:val="18"/>
              </w:rPr>
              <w:t>150</w:t>
            </w:r>
          </w:p>
        </w:tc>
        <w:tc>
          <w:tcPr>
            <w:tcW w:w="0" w:type="auto"/>
            <w:vAlign w:val="center"/>
            <w:hideMark/>
          </w:tcPr>
          <w:p w14:paraId="46FF401D" w14:textId="77777777" w:rsidR="00641BBA" w:rsidRPr="00641BBA" w:rsidRDefault="00641BBA" w:rsidP="00641BBA">
            <w:pPr>
              <w:spacing w:line="240" w:lineRule="auto"/>
              <w:jc w:val="both"/>
              <w:rPr>
                <w:sz w:val="18"/>
                <w:szCs w:val="18"/>
              </w:rPr>
            </w:pPr>
            <w:r w:rsidRPr="00641BBA">
              <w:rPr>
                <w:sz w:val="18"/>
                <w:szCs w:val="18"/>
              </w:rPr>
              <w:t>12,00</w:t>
            </w:r>
          </w:p>
        </w:tc>
        <w:tc>
          <w:tcPr>
            <w:tcW w:w="0" w:type="auto"/>
            <w:vAlign w:val="center"/>
            <w:hideMark/>
          </w:tcPr>
          <w:p w14:paraId="494B69D5" w14:textId="77777777" w:rsidR="00641BBA" w:rsidRPr="00641BBA" w:rsidRDefault="00641BBA" w:rsidP="00641BBA">
            <w:pPr>
              <w:spacing w:line="240" w:lineRule="auto"/>
              <w:jc w:val="both"/>
              <w:rPr>
                <w:sz w:val="18"/>
                <w:szCs w:val="18"/>
              </w:rPr>
            </w:pPr>
            <w:r w:rsidRPr="00641BBA">
              <w:rPr>
                <w:sz w:val="18"/>
                <w:szCs w:val="18"/>
              </w:rPr>
              <w:t>Secondo batch</w:t>
            </w:r>
          </w:p>
        </w:tc>
      </w:tr>
      <w:tr w:rsidR="00641BBA" w:rsidRPr="00641BBA" w14:paraId="52847DCA" w14:textId="77777777" w:rsidTr="00641BBA">
        <w:trPr>
          <w:tblCellSpacing w:w="15" w:type="dxa"/>
        </w:trPr>
        <w:tc>
          <w:tcPr>
            <w:tcW w:w="0" w:type="auto"/>
            <w:vAlign w:val="center"/>
            <w:hideMark/>
          </w:tcPr>
          <w:p w14:paraId="2FC712B7" w14:textId="77777777" w:rsidR="00641BBA" w:rsidRPr="00641BBA" w:rsidRDefault="00641BBA" w:rsidP="00641BBA">
            <w:pPr>
              <w:spacing w:line="240" w:lineRule="auto"/>
              <w:jc w:val="both"/>
              <w:rPr>
                <w:sz w:val="18"/>
                <w:szCs w:val="18"/>
              </w:rPr>
            </w:pPr>
            <w:r w:rsidRPr="00641BBA">
              <w:rPr>
                <w:sz w:val="18"/>
                <w:szCs w:val="18"/>
              </w:rPr>
              <w:t>30/06/2024</w:t>
            </w:r>
          </w:p>
        </w:tc>
        <w:tc>
          <w:tcPr>
            <w:tcW w:w="0" w:type="auto"/>
            <w:vAlign w:val="center"/>
            <w:hideMark/>
          </w:tcPr>
          <w:p w14:paraId="0325C070" w14:textId="77777777" w:rsidR="00641BBA" w:rsidRPr="00641BBA" w:rsidRDefault="00641BBA" w:rsidP="00641BBA">
            <w:pPr>
              <w:spacing w:line="240" w:lineRule="auto"/>
              <w:jc w:val="both"/>
              <w:rPr>
                <w:sz w:val="18"/>
                <w:szCs w:val="18"/>
              </w:rPr>
            </w:pPr>
            <w:r w:rsidRPr="00641BBA">
              <w:rPr>
                <w:sz w:val="18"/>
                <w:szCs w:val="18"/>
              </w:rPr>
              <w:t>Vendita</w:t>
            </w:r>
          </w:p>
        </w:tc>
        <w:tc>
          <w:tcPr>
            <w:tcW w:w="0" w:type="auto"/>
            <w:vAlign w:val="center"/>
            <w:hideMark/>
          </w:tcPr>
          <w:p w14:paraId="5A5446E0" w14:textId="77777777" w:rsidR="00641BBA" w:rsidRPr="00641BBA" w:rsidRDefault="00641BBA" w:rsidP="00641BBA">
            <w:pPr>
              <w:spacing w:line="240" w:lineRule="auto"/>
              <w:jc w:val="both"/>
              <w:rPr>
                <w:sz w:val="18"/>
                <w:szCs w:val="18"/>
              </w:rPr>
            </w:pPr>
            <w:r w:rsidRPr="00641BBA">
              <w:rPr>
                <w:sz w:val="18"/>
                <w:szCs w:val="18"/>
              </w:rPr>
              <w:t>120</w:t>
            </w:r>
          </w:p>
        </w:tc>
        <w:tc>
          <w:tcPr>
            <w:tcW w:w="0" w:type="auto"/>
            <w:vAlign w:val="center"/>
            <w:hideMark/>
          </w:tcPr>
          <w:p w14:paraId="6E2FF670" w14:textId="77777777" w:rsidR="00641BBA" w:rsidRPr="00641BBA" w:rsidRDefault="00641BBA" w:rsidP="00641BBA">
            <w:pPr>
              <w:spacing w:line="240" w:lineRule="auto"/>
              <w:jc w:val="both"/>
              <w:rPr>
                <w:sz w:val="18"/>
                <w:szCs w:val="18"/>
              </w:rPr>
            </w:pPr>
            <w:r w:rsidRPr="00641BBA">
              <w:rPr>
                <w:sz w:val="18"/>
                <w:szCs w:val="18"/>
              </w:rPr>
              <w:t>15,00</w:t>
            </w:r>
          </w:p>
        </w:tc>
        <w:tc>
          <w:tcPr>
            <w:tcW w:w="0" w:type="auto"/>
            <w:vAlign w:val="center"/>
            <w:hideMark/>
          </w:tcPr>
          <w:p w14:paraId="410E0938" w14:textId="370548B6" w:rsidR="00641BBA" w:rsidRPr="00641BBA" w:rsidRDefault="00641BBA" w:rsidP="00641BBA">
            <w:pPr>
              <w:spacing w:line="240" w:lineRule="auto"/>
              <w:jc w:val="both"/>
              <w:rPr>
                <w:sz w:val="18"/>
                <w:szCs w:val="18"/>
              </w:rPr>
            </w:pPr>
            <w:r w:rsidRPr="00641BBA">
              <w:rPr>
                <w:sz w:val="18"/>
                <w:szCs w:val="18"/>
              </w:rPr>
              <w:t>Scatta plusvalenza LIFO</w:t>
            </w:r>
            <w:r w:rsidR="00506353">
              <w:rPr>
                <w:sz w:val="18"/>
                <w:szCs w:val="18"/>
              </w:rPr>
              <w:t xml:space="preserve"> </w:t>
            </w:r>
          </w:p>
        </w:tc>
      </w:tr>
      <w:tr w:rsidR="00641BBA" w:rsidRPr="00641BBA" w14:paraId="62EEFCB6" w14:textId="77777777" w:rsidTr="00641BBA">
        <w:trPr>
          <w:tblCellSpacing w:w="15" w:type="dxa"/>
        </w:trPr>
        <w:tc>
          <w:tcPr>
            <w:tcW w:w="0" w:type="auto"/>
            <w:vAlign w:val="center"/>
            <w:hideMark/>
          </w:tcPr>
          <w:p w14:paraId="3FDA7D0F" w14:textId="77777777" w:rsidR="00641BBA" w:rsidRPr="00641BBA" w:rsidRDefault="00641BBA" w:rsidP="00641BBA">
            <w:pPr>
              <w:spacing w:line="240" w:lineRule="auto"/>
              <w:jc w:val="both"/>
              <w:rPr>
                <w:sz w:val="18"/>
                <w:szCs w:val="18"/>
              </w:rPr>
            </w:pPr>
            <w:r w:rsidRPr="00641BBA">
              <w:rPr>
                <w:sz w:val="18"/>
                <w:szCs w:val="18"/>
              </w:rPr>
              <w:t>15/09/2024</w:t>
            </w:r>
          </w:p>
        </w:tc>
        <w:tc>
          <w:tcPr>
            <w:tcW w:w="0" w:type="auto"/>
            <w:vAlign w:val="center"/>
            <w:hideMark/>
          </w:tcPr>
          <w:p w14:paraId="3BFC77A6" w14:textId="77777777" w:rsidR="00641BBA" w:rsidRPr="00641BBA" w:rsidRDefault="00641BBA" w:rsidP="00641BBA">
            <w:pPr>
              <w:spacing w:line="240" w:lineRule="auto"/>
              <w:jc w:val="both"/>
              <w:rPr>
                <w:sz w:val="18"/>
                <w:szCs w:val="18"/>
              </w:rPr>
            </w:pPr>
            <w:r w:rsidRPr="00641BBA">
              <w:rPr>
                <w:sz w:val="18"/>
                <w:szCs w:val="18"/>
              </w:rPr>
              <w:t>Vendita</w:t>
            </w:r>
          </w:p>
        </w:tc>
        <w:tc>
          <w:tcPr>
            <w:tcW w:w="0" w:type="auto"/>
            <w:vAlign w:val="center"/>
            <w:hideMark/>
          </w:tcPr>
          <w:p w14:paraId="5F86F4EB" w14:textId="77777777" w:rsidR="00641BBA" w:rsidRPr="00641BBA" w:rsidRDefault="00641BBA" w:rsidP="00641BBA">
            <w:pPr>
              <w:spacing w:line="240" w:lineRule="auto"/>
              <w:jc w:val="both"/>
              <w:rPr>
                <w:sz w:val="18"/>
                <w:szCs w:val="18"/>
              </w:rPr>
            </w:pPr>
            <w:r w:rsidRPr="00641BBA">
              <w:rPr>
                <w:sz w:val="18"/>
                <w:szCs w:val="18"/>
              </w:rPr>
              <w:t>80</w:t>
            </w:r>
          </w:p>
        </w:tc>
        <w:tc>
          <w:tcPr>
            <w:tcW w:w="0" w:type="auto"/>
            <w:vAlign w:val="center"/>
            <w:hideMark/>
          </w:tcPr>
          <w:p w14:paraId="576EBE80" w14:textId="77777777" w:rsidR="00641BBA" w:rsidRPr="00641BBA" w:rsidRDefault="00641BBA" w:rsidP="00641BBA">
            <w:pPr>
              <w:spacing w:line="240" w:lineRule="auto"/>
              <w:jc w:val="both"/>
              <w:rPr>
                <w:sz w:val="18"/>
                <w:szCs w:val="18"/>
              </w:rPr>
            </w:pPr>
            <w:r w:rsidRPr="00641BBA">
              <w:rPr>
                <w:sz w:val="18"/>
                <w:szCs w:val="18"/>
              </w:rPr>
              <w:t>14,00</w:t>
            </w:r>
          </w:p>
        </w:tc>
        <w:tc>
          <w:tcPr>
            <w:tcW w:w="0" w:type="auto"/>
            <w:vAlign w:val="center"/>
            <w:hideMark/>
          </w:tcPr>
          <w:p w14:paraId="4E8F1A41" w14:textId="77777777" w:rsidR="00641BBA" w:rsidRPr="00641BBA" w:rsidRDefault="00641BBA" w:rsidP="00641BBA">
            <w:pPr>
              <w:spacing w:line="240" w:lineRule="auto"/>
              <w:jc w:val="both"/>
              <w:rPr>
                <w:sz w:val="18"/>
                <w:szCs w:val="18"/>
              </w:rPr>
            </w:pPr>
            <w:r w:rsidRPr="00641BBA">
              <w:rPr>
                <w:sz w:val="18"/>
                <w:szCs w:val="18"/>
              </w:rPr>
              <w:t>Continua seconda vendita con LIFO</w:t>
            </w:r>
          </w:p>
        </w:tc>
      </w:tr>
    </w:tbl>
    <w:p w14:paraId="6AF0E099" w14:textId="12B319F7" w:rsidR="0020274D" w:rsidRPr="0020274D" w:rsidRDefault="00506353" w:rsidP="0020274D">
      <w:pPr>
        <w:jc w:val="both"/>
        <w:rPr>
          <w:b/>
          <w:bCs/>
        </w:rPr>
      </w:pPr>
      <w:r>
        <w:t>Analizzando i movimenti abbiamo</w:t>
      </w:r>
      <w:r w:rsidR="00556BF5">
        <w:t>:</w:t>
      </w:r>
      <w:r w:rsidR="0020274D">
        <w:t xml:space="preserve"> </w:t>
      </w:r>
      <w:r w:rsidR="0020274D">
        <w:rPr>
          <w:b/>
          <w:bCs/>
        </w:rPr>
        <w:t>p</w:t>
      </w:r>
      <w:r w:rsidR="0020274D" w:rsidRPr="0020274D">
        <w:rPr>
          <w:b/>
          <w:bCs/>
        </w:rPr>
        <w:t>rima vendita – 30 giugno (120 unità)</w:t>
      </w:r>
    </w:p>
    <w:p w14:paraId="35E52B18" w14:textId="77777777" w:rsidR="0020274D" w:rsidRPr="0020274D" w:rsidRDefault="0020274D" w:rsidP="0020274D">
      <w:pPr>
        <w:numPr>
          <w:ilvl w:val="0"/>
          <w:numId w:val="9"/>
        </w:numPr>
        <w:jc w:val="both"/>
      </w:pPr>
      <w:r w:rsidRPr="0020274D">
        <w:t xml:space="preserve">I </w:t>
      </w:r>
      <w:r w:rsidRPr="0020274D">
        <w:rPr>
          <w:b/>
          <w:bCs/>
        </w:rPr>
        <w:t>120 venduti</w:t>
      </w:r>
      <w:r w:rsidRPr="0020274D">
        <w:t xml:space="preserve"> sono considerati uscenti </w:t>
      </w:r>
      <w:r w:rsidRPr="0020274D">
        <w:rPr>
          <w:b/>
          <w:bCs/>
        </w:rPr>
        <w:t>dall’ultimo batch di acquisto</w:t>
      </w:r>
      <w:r w:rsidRPr="0020274D">
        <w:t>:</w:t>
      </w:r>
    </w:p>
    <w:p w14:paraId="33B30592" w14:textId="77F04611" w:rsidR="0020274D" w:rsidRPr="0020274D" w:rsidRDefault="0020274D" w:rsidP="0020274D">
      <w:pPr>
        <w:numPr>
          <w:ilvl w:val="1"/>
          <w:numId w:val="9"/>
        </w:numPr>
        <w:jc w:val="both"/>
      </w:pPr>
      <w:r w:rsidRPr="0020274D">
        <w:t>120 × 12,00</w:t>
      </w:r>
      <w:r w:rsidRPr="0020274D">
        <w:rPr>
          <w:rFonts w:ascii="Arial" w:hAnsi="Arial" w:cs="Arial"/>
        </w:rPr>
        <w:t> </w:t>
      </w:r>
      <w:r w:rsidRPr="0020274D">
        <w:rPr>
          <w:rFonts w:ascii="Aptos" w:hAnsi="Aptos" w:cs="Aptos"/>
        </w:rPr>
        <w:t>€</w:t>
      </w:r>
      <w:r w:rsidRPr="0020274D">
        <w:t xml:space="preserve"> = </w:t>
      </w:r>
      <w:r w:rsidRPr="0020274D">
        <w:rPr>
          <w:b/>
          <w:bCs/>
        </w:rPr>
        <w:t>1</w:t>
      </w:r>
      <w:r w:rsidR="009D0B29">
        <w:rPr>
          <w:rFonts w:ascii="Arial" w:hAnsi="Arial" w:cs="Arial"/>
          <w:b/>
          <w:bCs/>
        </w:rPr>
        <w:t>.</w:t>
      </w:r>
      <w:r w:rsidRPr="0020274D">
        <w:rPr>
          <w:b/>
          <w:bCs/>
        </w:rPr>
        <w:t>440</w:t>
      </w:r>
      <w:r w:rsidRPr="0020274D">
        <w:rPr>
          <w:rFonts w:ascii="Arial" w:hAnsi="Arial" w:cs="Arial"/>
          <w:b/>
          <w:bCs/>
        </w:rPr>
        <w:t> </w:t>
      </w:r>
      <w:r w:rsidRPr="0020274D">
        <w:rPr>
          <w:rFonts w:ascii="Aptos" w:hAnsi="Aptos" w:cs="Aptos"/>
          <w:b/>
          <w:bCs/>
        </w:rPr>
        <w:t>€</w:t>
      </w:r>
      <w:r w:rsidRPr="0020274D">
        <w:t xml:space="preserve"> (costo secondo batch)</w:t>
      </w:r>
    </w:p>
    <w:p w14:paraId="75E9814F" w14:textId="0493F2F5" w:rsidR="0020274D" w:rsidRPr="0020274D" w:rsidRDefault="0020274D" w:rsidP="0020274D">
      <w:pPr>
        <w:numPr>
          <w:ilvl w:val="1"/>
          <w:numId w:val="9"/>
        </w:numPr>
        <w:jc w:val="both"/>
      </w:pPr>
      <w:r w:rsidRPr="0020274D">
        <w:t>Ricavato: 120 × 15,00</w:t>
      </w:r>
      <w:r w:rsidRPr="0020274D">
        <w:rPr>
          <w:rFonts w:ascii="Arial" w:hAnsi="Arial" w:cs="Arial"/>
        </w:rPr>
        <w:t> </w:t>
      </w:r>
      <w:r w:rsidRPr="0020274D">
        <w:rPr>
          <w:rFonts w:ascii="Aptos" w:hAnsi="Aptos" w:cs="Aptos"/>
        </w:rPr>
        <w:t>€</w:t>
      </w:r>
      <w:r w:rsidRPr="0020274D">
        <w:t xml:space="preserve"> = </w:t>
      </w:r>
      <w:r w:rsidRPr="0020274D">
        <w:rPr>
          <w:b/>
          <w:bCs/>
        </w:rPr>
        <w:t>1</w:t>
      </w:r>
      <w:r w:rsidR="009D0B29">
        <w:rPr>
          <w:rFonts w:ascii="Arial" w:hAnsi="Arial" w:cs="Arial"/>
          <w:b/>
          <w:bCs/>
        </w:rPr>
        <w:t>.</w:t>
      </w:r>
      <w:r w:rsidRPr="0020274D">
        <w:rPr>
          <w:b/>
          <w:bCs/>
        </w:rPr>
        <w:t>800</w:t>
      </w:r>
      <w:r w:rsidRPr="0020274D">
        <w:rPr>
          <w:rFonts w:ascii="Arial" w:hAnsi="Arial" w:cs="Arial"/>
          <w:b/>
          <w:bCs/>
        </w:rPr>
        <w:t> </w:t>
      </w:r>
      <w:r w:rsidRPr="0020274D">
        <w:rPr>
          <w:rFonts w:ascii="Aptos" w:hAnsi="Aptos" w:cs="Aptos"/>
          <w:b/>
          <w:bCs/>
        </w:rPr>
        <w:t>€</w:t>
      </w:r>
    </w:p>
    <w:p w14:paraId="1A12BAA6" w14:textId="0421F258" w:rsidR="0020274D" w:rsidRPr="0020274D" w:rsidRDefault="0020274D" w:rsidP="0020274D">
      <w:pPr>
        <w:numPr>
          <w:ilvl w:val="1"/>
          <w:numId w:val="9"/>
        </w:numPr>
        <w:jc w:val="both"/>
      </w:pPr>
      <w:r w:rsidRPr="0020274D">
        <w:rPr>
          <w:b/>
          <w:bCs/>
        </w:rPr>
        <w:t>Plusvalenza 1:</w:t>
      </w:r>
      <w:r w:rsidRPr="0020274D">
        <w:t xml:space="preserve"> 1</w:t>
      </w:r>
      <w:r w:rsidR="009D0B29">
        <w:rPr>
          <w:rFonts w:ascii="Arial" w:hAnsi="Arial" w:cs="Arial"/>
        </w:rPr>
        <w:t>.</w:t>
      </w:r>
      <w:r w:rsidRPr="0020274D">
        <w:t>800</w:t>
      </w:r>
      <w:r w:rsidRPr="0020274D">
        <w:rPr>
          <w:rFonts w:ascii="Arial" w:hAnsi="Arial" w:cs="Arial"/>
        </w:rPr>
        <w:t> </w:t>
      </w:r>
      <w:r w:rsidRPr="0020274D">
        <w:rPr>
          <w:rFonts w:ascii="Aptos" w:hAnsi="Aptos" w:cs="Aptos"/>
        </w:rPr>
        <w:t>–</w:t>
      </w:r>
      <w:r w:rsidRPr="0020274D">
        <w:rPr>
          <w:rFonts w:ascii="Arial" w:hAnsi="Arial" w:cs="Arial"/>
        </w:rPr>
        <w:t> </w:t>
      </w:r>
      <w:r w:rsidRPr="0020274D">
        <w:t>1</w:t>
      </w:r>
      <w:r w:rsidR="009D0B29">
        <w:rPr>
          <w:rFonts w:ascii="Arial" w:hAnsi="Arial" w:cs="Arial"/>
        </w:rPr>
        <w:t>.</w:t>
      </w:r>
      <w:r w:rsidRPr="0020274D">
        <w:t>440</w:t>
      </w:r>
      <w:r w:rsidRPr="0020274D">
        <w:rPr>
          <w:rFonts w:ascii="Arial" w:hAnsi="Arial" w:cs="Arial"/>
        </w:rPr>
        <w:t> </w:t>
      </w:r>
      <w:r w:rsidRPr="0020274D">
        <w:t xml:space="preserve">= </w:t>
      </w:r>
      <w:r w:rsidRPr="0020274D">
        <w:rPr>
          <w:b/>
          <w:bCs/>
        </w:rPr>
        <w:t>360</w:t>
      </w:r>
      <w:r w:rsidRPr="0020274D">
        <w:rPr>
          <w:rFonts w:ascii="Arial" w:hAnsi="Arial" w:cs="Arial"/>
          <w:b/>
          <w:bCs/>
        </w:rPr>
        <w:t> </w:t>
      </w:r>
      <w:r w:rsidRPr="0020274D">
        <w:rPr>
          <w:rFonts w:ascii="Aptos" w:hAnsi="Aptos" w:cs="Aptos"/>
          <w:b/>
          <w:bCs/>
        </w:rPr>
        <w:t>€</w:t>
      </w:r>
    </w:p>
    <w:p w14:paraId="5B8F2B06" w14:textId="77777777" w:rsidR="0020274D" w:rsidRPr="0020274D" w:rsidRDefault="0020274D" w:rsidP="0020274D">
      <w:pPr>
        <w:numPr>
          <w:ilvl w:val="0"/>
          <w:numId w:val="9"/>
        </w:numPr>
        <w:jc w:val="both"/>
      </w:pPr>
      <w:r w:rsidRPr="0020274D">
        <w:t>Restano nel portafoglio:</w:t>
      </w:r>
    </w:p>
    <w:p w14:paraId="1E727247" w14:textId="77777777" w:rsidR="0020274D" w:rsidRPr="0020274D" w:rsidRDefault="0020274D" w:rsidP="0020274D">
      <w:pPr>
        <w:numPr>
          <w:ilvl w:val="1"/>
          <w:numId w:val="9"/>
        </w:numPr>
        <w:jc w:val="both"/>
      </w:pPr>
      <w:r w:rsidRPr="0020274D">
        <w:t>100 titoli del primo batch (10</w:t>
      </w:r>
      <w:r w:rsidRPr="0020274D">
        <w:rPr>
          <w:rFonts w:ascii="Arial" w:hAnsi="Arial" w:cs="Arial"/>
        </w:rPr>
        <w:t> </w:t>
      </w:r>
      <w:r w:rsidRPr="0020274D">
        <w:rPr>
          <w:rFonts w:ascii="Aptos" w:hAnsi="Aptos" w:cs="Aptos"/>
        </w:rPr>
        <w:t>€</w:t>
      </w:r>
      <w:r w:rsidRPr="0020274D">
        <w:t>),</w:t>
      </w:r>
    </w:p>
    <w:p w14:paraId="2796D341" w14:textId="77777777" w:rsidR="0020274D" w:rsidRPr="0020274D" w:rsidRDefault="0020274D" w:rsidP="0020274D">
      <w:pPr>
        <w:numPr>
          <w:ilvl w:val="1"/>
          <w:numId w:val="9"/>
        </w:numPr>
        <w:jc w:val="both"/>
      </w:pPr>
      <w:r w:rsidRPr="0020274D">
        <w:t>30 titoli residui del secondo batch (12</w:t>
      </w:r>
      <w:r w:rsidRPr="0020274D">
        <w:rPr>
          <w:rFonts w:ascii="Arial" w:hAnsi="Arial" w:cs="Arial"/>
        </w:rPr>
        <w:t> </w:t>
      </w:r>
      <w:r w:rsidRPr="0020274D">
        <w:rPr>
          <w:rFonts w:ascii="Aptos" w:hAnsi="Aptos" w:cs="Aptos"/>
        </w:rPr>
        <w:t>€</w:t>
      </w:r>
      <w:r w:rsidRPr="0020274D">
        <w:t>)</w:t>
      </w:r>
    </w:p>
    <w:p w14:paraId="3EF14711" w14:textId="77777777" w:rsidR="00F136EA" w:rsidRPr="00F136EA" w:rsidRDefault="00F136EA" w:rsidP="00F136EA">
      <w:pPr>
        <w:jc w:val="both"/>
        <w:rPr>
          <w:b/>
          <w:bCs/>
        </w:rPr>
      </w:pPr>
      <w:r w:rsidRPr="00F136EA">
        <w:rPr>
          <w:b/>
          <w:bCs/>
        </w:rPr>
        <w:t>Seconda vendita – 15 settembre (80 unità)</w:t>
      </w:r>
    </w:p>
    <w:p w14:paraId="494031FD" w14:textId="77777777" w:rsidR="00F136EA" w:rsidRPr="00F136EA" w:rsidRDefault="00F136EA" w:rsidP="00F136EA">
      <w:pPr>
        <w:numPr>
          <w:ilvl w:val="0"/>
          <w:numId w:val="10"/>
        </w:numPr>
        <w:jc w:val="both"/>
      </w:pPr>
      <w:r w:rsidRPr="00F136EA">
        <w:t xml:space="preserve">Ancora si vende dal </w:t>
      </w:r>
      <w:r w:rsidRPr="00F136EA">
        <w:rPr>
          <w:b/>
          <w:bCs/>
        </w:rPr>
        <w:t>batch più recente disponibile</w:t>
      </w:r>
      <w:r w:rsidRPr="00F136EA">
        <w:t>:</w:t>
      </w:r>
    </w:p>
    <w:p w14:paraId="3ECA9672" w14:textId="77777777" w:rsidR="00F136EA" w:rsidRPr="00F136EA" w:rsidRDefault="00F136EA" w:rsidP="00F136EA">
      <w:pPr>
        <w:numPr>
          <w:ilvl w:val="1"/>
          <w:numId w:val="10"/>
        </w:numPr>
        <w:jc w:val="both"/>
      </w:pPr>
      <w:r w:rsidRPr="00F136EA">
        <w:t xml:space="preserve">I 30 restanti dal secondo batch: 30 × 12,00 = </w:t>
      </w:r>
      <w:r w:rsidRPr="00F136EA">
        <w:rPr>
          <w:b/>
          <w:bCs/>
        </w:rPr>
        <w:t>360</w:t>
      </w:r>
      <w:r w:rsidRPr="00F136EA">
        <w:rPr>
          <w:rFonts w:ascii="Arial" w:hAnsi="Arial" w:cs="Arial"/>
          <w:b/>
          <w:bCs/>
        </w:rPr>
        <w:t> </w:t>
      </w:r>
      <w:r w:rsidRPr="00F136EA">
        <w:rPr>
          <w:rFonts w:ascii="Aptos" w:hAnsi="Aptos" w:cs="Aptos"/>
          <w:b/>
          <w:bCs/>
        </w:rPr>
        <w:t>€</w:t>
      </w:r>
    </w:p>
    <w:p w14:paraId="7CFA5D97" w14:textId="77777777" w:rsidR="00F136EA" w:rsidRPr="00F136EA" w:rsidRDefault="00F136EA" w:rsidP="00F136EA">
      <w:pPr>
        <w:numPr>
          <w:ilvl w:val="1"/>
          <w:numId w:val="10"/>
        </w:numPr>
        <w:jc w:val="both"/>
      </w:pPr>
      <w:r w:rsidRPr="00F136EA">
        <w:t xml:space="preserve">Mancano ancora 50 unità: prelevate dal primo batch: 50 × 10,00 = </w:t>
      </w:r>
      <w:r w:rsidRPr="00F136EA">
        <w:rPr>
          <w:b/>
          <w:bCs/>
        </w:rPr>
        <w:t>500</w:t>
      </w:r>
      <w:r w:rsidRPr="00F136EA">
        <w:rPr>
          <w:rFonts w:ascii="Arial" w:hAnsi="Arial" w:cs="Arial"/>
          <w:b/>
          <w:bCs/>
        </w:rPr>
        <w:t> </w:t>
      </w:r>
      <w:r w:rsidRPr="00F136EA">
        <w:rPr>
          <w:rFonts w:ascii="Aptos" w:hAnsi="Aptos" w:cs="Aptos"/>
          <w:b/>
          <w:bCs/>
        </w:rPr>
        <w:t>€</w:t>
      </w:r>
    </w:p>
    <w:p w14:paraId="2BE56351" w14:textId="77777777" w:rsidR="00F136EA" w:rsidRPr="00F136EA" w:rsidRDefault="00F136EA" w:rsidP="00F136EA">
      <w:pPr>
        <w:numPr>
          <w:ilvl w:val="1"/>
          <w:numId w:val="10"/>
        </w:numPr>
        <w:jc w:val="both"/>
      </w:pPr>
      <w:r w:rsidRPr="00F136EA">
        <w:rPr>
          <w:b/>
          <w:bCs/>
        </w:rPr>
        <w:t>Costo totale venduto:</w:t>
      </w:r>
      <w:r w:rsidRPr="00F136EA">
        <w:t xml:space="preserve"> 360 + 500 = </w:t>
      </w:r>
      <w:r w:rsidRPr="00F136EA">
        <w:rPr>
          <w:b/>
          <w:bCs/>
        </w:rPr>
        <w:t>860</w:t>
      </w:r>
      <w:r w:rsidRPr="00F136EA">
        <w:rPr>
          <w:rFonts w:ascii="Arial" w:hAnsi="Arial" w:cs="Arial"/>
          <w:b/>
          <w:bCs/>
        </w:rPr>
        <w:t> </w:t>
      </w:r>
      <w:r w:rsidRPr="00F136EA">
        <w:rPr>
          <w:rFonts w:ascii="Aptos" w:hAnsi="Aptos" w:cs="Aptos"/>
          <w:b/>
          <w:bCs/>
        </w:rPr>
        <w:t>€</w:t>
      </w:r>
    </w:p>
    <w:p w14:paraId="1A1FDED7" w14:textId="1DF3A1A6" w:rsidR="00F136EA" w:rsidRPr="00F136EA" w:rsidRDefault="00F136EA" w:rsidP="00F136EA">
      <w:pPr>
        <w:numPr>
          <w:ilvl w:val="1"/>
          <w:numId w:val="10"/>
        </w:numPr>
        <w:jc w:val="both"/>
      </w:pPr>
      <w:r w:rsidRPr="00F136EA">
        <w:t xml:space="preserve">Ricavo: 80 × 14,00 = </w:t>
      </w:r>
      <w:r w:rsidRPr="00F136EA">
        <w:rPr>
          <w:b/>
          <w:bCs/>
        </w:rPr>
        <w:t>1</w:t>
      </w:r>
      <w:r w:rsidR="00BE43F2">
        <w:rPr>
          <w:rFonts w:ascii="Arial" w:hAnsi="Arial" w:cs="Arial"/>
          <w:b/>
          <w:bCs/>
        </w:rPr>
        <w:t>.</w:t>
      </w:r>
      <w:r w:rsidRPr="00F136EA">
        <w:rPr>
          <w:b/>
          <w:bCs/>
        </w:rPr>
        <w:t>120</w:t>
      </w:r>
      <w:r w:rsidRPr="00F136EA">
        <w:rPr>
          <w:rFonts w:ascii="Arial" w:hAnsi="Arial" w:cs="Arial"/>
          <w:b/>
          <w:bCs/>
        </w:rPr>
        <w:t> </w:t>
      </w:r>
      <w:r w:rsidRPr="00F136EA">
        <w:rPr>
          <w:rFonts w:ascii="Aptos" w:hAnsi="Aptos" w:cs="Aptos"/>
          <w:b/>
          <w:bCs/>
        </w:rPr>
        <w:t>€</w:t>
      </w:r>
    </w:p>
    <w:p w14:paraId="53B48B5C" w14:textId="10CBCC29" w:rsidR="00F136EA" w:rsidRPr="00F136EA" w:rsidRDefault="00F136EA" w:rsidP="00F136EA">
      <w:pPr>
        <w:numPr>
          <w:ilvl w:val="1"/>
          <w:numId w:val="10"/>
        </w:numPr>
        <w:jc w:val="both"/>
      </w:pPr>
      <w:r w:rsidRPr="00F136EA">
        <w:rPr>
          <w:b/>
          <w:bCs/>
        </w:rPr>
        <w:t>Plusvalenza 2:</w:t>
      </w:r>
      <w:r w:rsidRPr="00F136EA">
        <w:t xml:space="preserve"> 1</w:t>
      </w:r>
      <w:r w:rsidR="00BE43F2">
        <w:rPr>
          <w:rFonts w:ascii="Arial" w:hAnsi="Arial" w:cs="Arial"/>
        </w:rPr>
        <w:t>.</w:t>
      </w:r>
      <w:r w:rsidRPr="00F136EA">
        <w:t xml:space="preserve">120 </w:t>
      </w:r>
      <w:r w:rsidRPr="00F136EA">
        <w:rPr>
          <w:rFonts w:ascii="Aptos" w:hAnsi="Aptos" w:cs="Aptos"/>
        </w:rPr>
        <w:t>–</w:t>
      </w:r>
      <w:r w:rsidRPr="00F136EA">
        <w:t xml:space="preserve"> 860 = </w:t>
      </w:r>
      <w:r w:rsidRPr="00F136EA">
        <w:rPr>
          <w:b/>
          <w:bCs/>
        </w:rPr>
        <w:t>260</w:t>
      </w:r>
      <w:r w:rsidRPr="00F136EA">
        <w:rPr>
          <w:rFonts w:ascii="Arial" w:hAnsi="Arial" w:cs="Arial"/>
          <w:b/>
          <w:bCs/>
        </w:rPr>
        <w:t> </w:t>
      </w:r>
      <w:r w:rsidRPr="00F136EA">
        <w:rPr>
          <w:rFonts w:ascii="Aptos" w:hAnsi="Aptos" w:cs="Aptos"/>
          <w:b/>
          <w:bCs/>
        </w:rPr>
        <w:t>€</w:t>
      </w:r>
    </w:p>
    <w:p w14:paraId="50533D89" w14:textId="77777777" w:rsidR="00F136EA" w:rsidRDefault="00F136EA" w:rsidP="00F136EA">
      <w:pPr>
        <w:numPr>
          <w:ilvl w:val="0"/>
          <w:numId w:val="10"/>
        </w:numPr>
        <w:jc w:val="both"/>
      </w:pPr>
      <w:r w:rsidRPr="00F136EA">
        <w:t>Alla fine: nel portafoglio restano 50 titoli (dal primo batch), costo residuo 10</w:t>
      </w:r>
      <w:r w:rsidRPr="00F136EA">
        <w:rPr>
          <w:rFonts w:ascii="Arial" w:hAnsi="Arial" w:cs="Arial"/>
        </w:rPr>
        <w:t> </w:t>
      </w:r>
      <w:r w:rsidRPr="00F136EA">
        <w:rPr>
          <w:rFonts w:ascii="Aptos" w:hAnsi="Aptos" w:cs="Aptos"/>
        </w:rPr>
        <w:t>€</w:t>
      </w:r>
      <w:r w:rsidRPr="00F136EA">
        <w:t>.</w:t>
      </w:r>
    </w:p>
    <w:p w14:paraId="1C728789" w14:textId="68823AF4" w:rsidR="00EB5CBF" w:rsidRPr="001E28B6" w:rsidRDefault="003E7838" w:rsidP="003E7838">
      <w:pPr>
        <w:rPr>
          <w:bCs/>
        </w:rPr>
      </w:pPr>
      <w:r w:rsidRPr="003E7838">
        <w:t xml:space="preserve">Le plusvalenze ammontano a </w:t>
      </w:r>
      <w:r w:rsidRPr="003E7838">
        <w:rPr>
          <w:b/>
        </w:rPr>
        <w:t>360</w:t>
      </w:r>
      <w:r w:rsidRPr="003E7838">
        <w:rPr>
          <w:rFonts w:ascii="Arial" w:hAnsi="Arial" w:cs="Arial"/>
          <w:b/>
        </w:rPr>
        <w:t> </w:t>
      </w:r>
      <w:r w:rsidRPr="003E7838">
        <w:rPr>
          <w:rFonts w:ascii="Aptos" w:hAnsi="Aptos" w:cs="Aptos"/>
          <w:b/>
        </w:rPr>
        <w:t>€</w:t>
      </w:r>
      <w:r w:rsidRPr="003E7838">
        <w:rPr>
          <w:b/>
        </w:rPr>
        <w:t xml:space="preserve"> + 260</w:t>
      </w:r>
      <w:r w:rsidRPr="003E7838">
        <w:rPr>
          <w:rFonts w:ascii="Arial" w:hAnsi="Arial" w:cs="Arial"/>
          <w:b/>
        </w:rPr>
        <w:t> </w:t>
      </w:r>
      <w:r w:rsidRPr="003E7838">
        <w:rPr>
          <w:rFonts w:ascii="Aptos" w:hAnsi="Aptos" w:cs="Aptos"/>
          <w:b/>
        </w:rPr>
        <w:t>€</w:t>
      </w:r>
      <w:r w:rsidRPr="003E7838">
        <w:rPr>
          <w:b/>
        </w:rPr>
        <w:t xml:space="preserve"> = 620</w:t>
      </w:r>
      <w:r w:rsidRPr="003E7838">
        <w:rPr>
          <w:rFonts w:ascii="Arial" w:hAnsi="Arial" w:cs="Arial"/>
          <w:b/>
        </w:rPr>
        <w:t> </w:t>
      </w:r>
      <w:r w:rsidRPr="003E7838">
        <w:rPr>
          <w:b/>
        </w:rPr>
        <w:t>€</w:t>
      </w:r>
      <w:r w:rsidRPr="003E7838">
        <w:t xml:space="preserve"> e devono essere dichiarate nel quadro </w:t>
      </w:r>
      <w:r w:rsidRPr="003E7838">
        <w:rPr>
          <w:b/>
        </w:rPr>
        <w:t>RT</w:t>
      </w:r>
      <w:r w:rsidRPr="003E7838">
        <w:t xml:space="preserve"> secondo il regime dichiarativo del </w:t>
      </w:r>
      <w:r w:rsidRPr="003E7838">
        <w:rPr>
          <w:b/>
        </w:rPr>
        <w:t>26%</w:t>
      </w:r>
      <w:r w:rsidRPr="003E7838">
        <w:t xml:space="preserve"> sul risultato, oppure </w:t>
      </w:r>
      <w:r w:rsidR="008D5116">
        <w:t xml:space="preserve">se relativi a </w:t>
      </w:r>
      <w:r w:rsidRPr="003E7838">
        <w:t>titoli non armonizzati</w:t>
      </w:r>
      <w:r>
        <w:t xml:space="preserve"> </w:t>
      </w:r>
      <w:r w:rsidR="008D5116">
        <w:t xml:space="preserve">saranno dichiarati nel quadro RL e tassati </w:t>
      </w:r>
      <w:r w:rsidRPr="003E7838">
        <w:t xml:space="preserve">secondo il regime ordinario, </w:t>
      </w:r>
      <w:r w:rsidR="008D5116">
        <w:t xml:space="preserve">laddove il contribuente avesse già superato la soglia dei 50.000 euro di altri redditi detta tassazione sarebbe del </w:t>
      </w:r>
      <w:r w:rsidRPr="003E7838">
        <w:rPr>
          <w:b/>
        </w:rPr>
        <w:t>43%</w:t>
      </w:r>
      <w:r w:rsidR="001E28B6">
        <w:rPr>
          <w:b/>
        </w:rPr>
        <w:t xml:space="preserve"> </w:t>
      </w:r>
      <w:r w:rsidR="001E28B6">
        <w:rPr>
          <w:bCs/>
        </w:rPr>
        <w:t>(come ipotizzato nel tool).</w:t>
      </w:r>
    </w:p>
    <w:p w14:paraId="0FB8D2C9" w14:textId="77777777" w:rsidR="00B31265" w:rsidRDefault="00A12D96" w:rsidP="00025A97">
      <w:pPr>
        <w:jc w:val="both"/>
      </w:pPr>
      <w:r>
        <w:t>Poiché i</w:t>
      </w:r>
      <w:r w:rsidR="009F307E" w:rsidRPr="009F307E">
        <w:t>l metodo LIFO è obbligatorio per titoli in regime dichiarativo</w:t>
      </w:r>
      <w:r>
        <w:t xml:space="preserve">, occorre prestare attenzione alle stratificazioni di acquisto e procedere </w:t>
      </w:r>
      <w:r w:rsidR="00384AF1">
        <w:t>ad assegnare ad ogni singola vendita l’acquisto corrispondente partendo dai più recenti e risalendo ai più remoti. Si creerà così uno strato per ogni titolo e ogni data (o meglio data ora) di acquisto</w:t>
      </w:r>
      <w:r w:rsidR="00B31265">
        <w:t>.</w:t>
      </w:r>
    </w:p>
    <w:p w14:paraId="2A8F8141" w14:textId="4B466286" w:rsidR="007E2F45" w:rsidRDefault="007E2F45" w:rsidP="00025A97">
      <w:pPr>
        <w:jc w:val="both"/>
      </w:pPr>
      <w:r>
        <w:t>A questa operazione il tool dedica un intero foglio che potrà essere compilato come di seguito riportato.</w:t>
      </w:r>
    </w:p>
    <w:p w14:paraId="78670EEB" w14:textId="77777777" w:rsidR="007E2F45" w:rsidRDefault="00BF0C4E" w:rsidP="007E2F45">
      <w:pPr>
        <w:keepNext/>
        <w:jc w:val="both"/>
      </w:pPr>
      <w:r w:rsidRPr="00BF0C4E">
        <w:rPr>
          <w:noProof/>
        </w:rPr>
        <w:lastRenderedPageBreak/>
        <w:drawing>
          <wp:inline distT="0" distB="0" distL="0" distR="0" wp14:anchorId="3C33E707" wp14:editId="185674D8">
            <wp:extent cx="6120130" cy="2524125"/>
            <wp:effectExtent l="0" t="0" r="0" b="9525"/>
            <wp:docPr id="170385787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7874" name="Immagine 1" descr="Immagine che contiene testo, schermata, Carattere, numero&#10;&#10;Il contenuto generato dall'IA potrebbe non essere corretto."/>
                    <pic:cNvPicPr/>
                  </pic:nvPicPr>
                  <pic:blipFill>
                    <a:blip r:embed="rId12"/>
                    <a:stretch>
                      <a:fillRect/>
                    </a:stretch>
                  </pic:blipFill>
                  <pic:spPr>
                    <a:xfrm>
                      <a:off x="0" y="0"/>
                      <a:ext cx="6120130" cy="2524125"/>
                    </a:xfrm>
                    <a:prstGeom prst="rect">
                      <a:avLst/>
                    </a:prstGeom>
                  </pic:spPr>
                </pic:pic>
              </a:graphicData>
            </a:graphic>
          </wp:inline>
        </w:drawing>
      </w:r>
    </w:p>
    <w:p w14:paraId="24B437BC" w14:textId="77A9034D" w:rsidR="007E2F45" w:rsidRDefault="007E2F45" w:rsidP="007E2F45">
      <w:pPr>
        <w:pStyle w:val="Didascalia"/>
        <w:jc w:val="both"/>
      </w:pPr>
      <w:r>
        <w:t xml:space="preserve">Figura </w:t>
      </w:r>
      <w:fldSimple w:instr=" SEQ Figura \* ARABIC ">
        <w:r w:rsidR="00153573">
          <w:rPr>
            <w:noProof/>
          </w:rPr>
          <w:t>5</w:t>
        </w:r>
      </w:fldSimple>
      <w:r>
        <w:t xml:space="preserve">: L'inserimento degli acquisti </w:t>
      </w:r>
    </w:p>
    <w:p w14:paraId="3066B73A" w14:textId="1DF90B57" w:rsidR="004B49E1" w:rsidRDefault="007E2F45" w:rsidP="00025A97">
      <w:pPr>
        <w:jc w:val="both"/>
      </w:pPr>
      <w:r>
        <w:t>Il tool</w:t>
      </w:r>
      <w:r w:rsidR="00B034E2">
        <w:t>,</w:t>
      </w:r>
      <w:r>
        <w:t xml:space="preserve"> una volta inseriti tutti i movimenti</w:t>
      </w:r>
      <w:r w:rsidR="00B034E2">
        <w:t>,</w:t>
      </w:r>
      <w:r>
        <w:t xml:space="preserve"> </w:t>
      </w:r>
      <w:r w:rsidR="002F637F">
        <w:t xml:space="preserve">consente </w:t>
      </w:r>
      <w:r w:rsidR="00A42F6C">
        <w:t xml:space="preserve">sia </w:t>
      </w:r>
      <w:r w:rsidR="002F637F">
        <w:t xml:space="preserve">il calcolo medio ponderato (utilizzabile per i fondi </w:t>
      </w:r>
      <w:r w:rsidR="00136162">
        <w:t xml:space="preserve">comuni e strumenti strutturati) </w:t>
      </w:r>
      <w:r w:rsidR="00A42F6C">
        <w:t>ch</w:t>
      </w:r>
      <w:r w:rsidR="00136162">
        <w:t>e la costruzione del LIFO (mediante stratificazione).</w:t>
      </w:r>
    </w:p>
    <w:p w14:paraId="379087A7" w14:textId="7394C5A6" w:rsidR="008F326F" w:rsidRDefault="007458E4" w:rsidP="008F326F">
      <w:pPr>
        <w:keepNext/>
        <w:jc w:val="both"/>
      </w:pPr>
      <w:r w:rsidRPr="007458E4">
        <w:rPr>
          <w:noProof/>
        </w:rPr>
        <w:drawing>
          <wp:inline distT="0" distB="0" distL="0" distR="0" wp14:anchorId="46A44985" wp14:editId="0428745A">
            <wp:extent cx="6120130" cy="1186567"/>
            <wp:effectExtent l="0" t="0" r="0" b="0"/>
            <wp:docPr id="1043471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23387"/>
                    <a:stretch>
                      <a:fillRect/>
                    </a:stretch>
                  </pic:blipFill>
                  <pic:spPr bwMode="auto">
                    <a:xfrm>
                      <a:off x="0" y="0"/>
                      <a:ext cx="6120130" cy="1186567"/>
                    </a:xfrm>
                    <a:prstGeom prst="rect">
                      <a:avLst/>
                    </a:prstGeom>
                    <a:noFill/>
                    <a:ln>
                      <a:noFill/>
                    </a:ln>
                    <a:extLst>
                      <a:ext uri="{53640926-AAD7-44D8-BBD7-CCE9431645EC}">
                        <a14:shadowObscured xmlns:a14="http://schemas.microsoft.com/office/drawing/2010/main"/>
                      </a:ext>
                    </a:extLst>
                  </pic:spPr>
                </pic:pic>
              </a:graphicData>
            </a:graphic>
          </wp:inline>
        </w:drawing>
      </w:r>
    </w:p>
    <w:p w14:paraId="2AA5A558" w14:textId="14F23649" w:rsidR="00136162" w:rsidRDefault="008F326F" w:rsidP="008F326F">
      <w:pPr>
        <w:pStyle w:val="Didascalia"/>
        <w:jc w:val="both"/>
      </w:pPr>
      <w:r>
        <w:t xml:space="preserve">Figura </w:t>
      </w:r>
      <w:fldSimple w:instr=" SEQ Figura \* ARABIC ">
        <w:r w:rsidR="00153573">
          <w:rPr>
            <w:noProof/>
          </w:rPr>
          <w:t>6</w:t>
        </w:r>
      </w:fldSimple>
      <w:r>
        <w:t>: Stratificazione Lifo e gestione delle vendite</w:t>
      </w:r>
    </w:p>
    <w:p w14:paraId="7711CD80" w14:textId="3F1524B4" w:rsidR="008F326F" w:rsidRDefault="003815FA" w:rsidP="00C91F7C">
      <w:pPr>
        <w:jc w:val="both"/>
      </w:pPr>
      <w:r>
        <w:t>Il programma in caso di vendita esaurisce uno strato alla volta e calcola i valori residui</w:t>
      </w:r>
      <w:r w:rsidR="00C91F7C">
        <w:t>.</w:t>
      </w:r>
    </w:p>
    <w:p w14:paraId="75F8AC43" w14:textId="72196506" w:rsidR="00A36A80" w:rsidRDefault="007458E4" w:rsidP="00A36A80">
      <w:pPr>
        <w:keepNext/>
      </w:pPr>
      <w:r w:rsidRPr="007458E4">
        <w:rPr>
          <w:noProof/>
        </w:rPr>
        <w:drawing>
          <wp:inline distT="0" distB="0" distL="0" distR="0" wp14:anchorId="0F8441BF" wp14:editId="2FAE651C">
            <wp:extent cx="6120130" cy="1359065"/>
            <wp:effectExtent l="0" t="0" r="0" b="0"/>
            <wp:docPr id="89127209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21314"/>
                    <a:stretch>
                      <a:fillRect/>
                    </a:stretch>
                  </pic:blipFill>
                  <pic:spPr bwMode="auto">
                    <a:xfrm>
                      <a:off x="0" y="0"/>
                      <a:ext cx="6120130" cy="1359065"/>
                    </a:xfrm>
                    <a:prstGeom prst="rect">
                      <a:avLst/>
                    </a:prstGeom>
                    <a:noFill/>
                    <a:ln>
                      <a:noFill/>
                    </a:ln>
                    <a:extLst>
                      <a:ext uri="{53640926-AAD7-44D8-BBD7-CCE9431645EC}">
                        <a14:shadowObscured xmlns:a14="http://schemas.microsoft.com/office/drawing/2010/main"/>
                      </a:ext>
                    </a:extLst>
                  </pic:spPr>
                </pic:pic>
              </a:graphicData>
            </a:graphic>
          </wp:inline>
        </w:drawing>
      </w:r>
    </w:p>
    <w:p w14:paraId="6EF8B9CE" w14:textId="33CAD44B" w:rsidR="00A36A80" w:rsidRDefault="00A36A80" w:rsidP="00A36A80">
      <w:pPr>
        <w:pStyle w:val="Didascalia"/>
      </w:pPr>
      <w:r>
        <w:t xml:space="preserve">Figura </w:t>
      </w:r>
      <w:fldSimple w:instr=" SEQ Figura \* ARABIC ">
        <w:r w:rsidR="00153573">
          <w:rPr>
            <w:noProof/>
          </w:rPr>
          <w:t>7</w:t>
        </w:r>
      </w:fldSimple>
      <w:r>
        <w:t>: Il trattamento della vendita con il metodo LIFO</w:t>
      </w:r>
    </w:p>
    <w:p w14:paraId="6292E71B" w14:textId="536ECAE7" w:rsidR="00A42F6C" w:rsidRDefault="00A42F6C" w:rsidP="00A42F6C">
      <w:pPr>
        <w:pStyle w:val="Titolo3"/>
      </w:pPr>
      <w:r>
        <w:t>Dividendi e interessi</w:t>
      </w:r>
    </w:p>
    <w:p w14:paraId="3ED033F5" w14:textId="7634CC6A" w:rsidR="00BD34F9" w:rsidRDefault="00236015" w:rsidP="00236015">
      <w:pPr>
        <w:jc w:val="both"/>
      </w:pPr>
      <w:r>
        <w:t>I</w:t>
      </w:r>
      <w:r w:rsidR="003A692B">
        <w:t xml:space="preserve"> dividendi </w:t>
      </w:r>
      <w:r w:rsidR="000527CF" w:rsidRPr="000527CF">
        <w:t>e gli interessi ricevuti da fonti estere richiedono la compilazione del quadro RM (redditi da capitale). Occorre distinguere tra Paesi con o senza accordi contro le doppie imposizioni, verificando se applicare eventuali ritenute e come recuperarle.</w:t>
      </w:r>
    </w:p>
    <w:p w14:paraId="36FDAB5F" w14:textId="77777777" w:rsidR="00E94474" w:rsidRPr="00E94474" w:rsidRDefault="00E94474" w:rsidP="00E94474">
      <w:pPr>
        <w:jc w:val="both"/>
      </w:pPr>
      <w:r w:rsidRPr="00E94474">
        <w:rPr>
          <w:b/>
          <w:bCs/>
        </w:rPr>
        <w:t>I dividendi di fonte estera percepiti da persone fisiche residenti in Italia sono soggetti a un’imposta sostitutiva del 26%, sia che derivino da partecipazioni qualificate sia non qualificate.</w:t>
      </w:r>
      <w:r w:rsidRPr="00E94474">
        <w:t xml:space="preserve"> La base imponibile su cui applicare il 26% dipende dalla modalità di percezione:</w:t>
      </w:r>
    </w:p>
    <w:p w14:paraId="3CA4343A" w14:textId="77777777" w:rsidR="00E94474" w:rsidRPr="00E94474" w:rsidRDefault="00E94474" w:rsidP="00E94474">
      <w:pPr>
        <w:numPr>
          <w:ilvl w:val="0"/>
          <w:numId w:val="11"/>
        </w:numPr>
        <w:jc w:val="both"/>
      </w:pPr>
      <w:r w:rsidRPr="00E94474">
        <w:rPr>
          <w:b/>
          <w:bCs/>
        </w:rPr>
        <w:lastRenderedPageBreak/>
        <w:t>Incasso diretto all’estero:</w:t>
      </w:r>
      <w:r w:rsidRPr="00E94474">
        <w:t xml:space="preserve"> il 26% si applica sull’intero dividendo lordo, cioè prima delle imposte subite all’estero.</w:t>
      </w:r>
    </w:p>
    <w:p w14:paraId="02747150" w14:textId="730A0CDF" w:rsidR="00E94474" w:rsidRPr="00E94474" w:rsidRDefault="00E94474" w:rsidP="00E94474">
      <w:pPr>
        <w:numPr>
          <w:ilvl w:val="0"/>
          <w:numId w:val="11"/>
        </w:numPr>
        <w:jc w:val="both"/>
      </w:pPr>
      <w:r w:rsidRPr="00E94474">
        <w:rPr>
          <w:b/>
          <w:bCs/>
        </w:rPr>
        <w:t>Incasso tramite intermediario italiano:</w:t>
      </w:r>
      <w:r w:rsidRPr="00E94474">
        <w:t xml:space="preserve"> il 26% si applica sul “netto frontiera”, cioè sull’importo effettivamente accreditato al beneficiario, già al netto delle ritenute estere</w:t>
      </w:r>
      <w:r w:rsidR="00274471">
        <w:t>.</w:t>
      </w:r>
    </w:p>
    <w:p w14:paraId="4EC5E351" w14:textId="1C67F363" w:rsidR="00E94474" w:rsidRPr="00AB0B6B" w:rsidRDefault="008C5E32" w:rsidP="008C5E32">
      <w:pPr>
        <w:jc w:val="both"/>
        <w:rPr>
          <w:b/>
          <w:bCs/>
        </w:rPr>
      </w:pPr>
      <w:r w:rsidRPr="008C5E32">
        <w:t xml:space="preserve">L’Agenzia delle Entrate afferma che le ritenute sui dividendi esteri non possono essere dedotte dall’imposta sostitutiva italiana del 26%. Ciò significa che il credito d’imposta per le tasse pagate all'estero non è concesso se i dividendi sono tassati in Italia tramite imposta sostitutiva o ritenuta a titolo d’imposta. </w:t>
      </w:r>
      <w:r w:rsidRPr="00AB0B6B">
        <w:rPr>
          <w:b/>
          <w:bCs/>
        </w:rPr>
        <w:t>L'unico modo per evitare la doppia imposizione è il credito d'imposta, che però non è permesso con l'imposizione sostitutiva, secondo l'Agenzia.</w:t>
      </w:r>
    </w:p>
    <w:p w14:paraId="18AE8BA5" w14:textId="580CDB6D" w:rsidR="00E94474" w:rsidRPr="00E94474" w:rsidRDefault="00AC72C9" w:rsidP="00AC72C9">
      <w:pPr>
        <w:jc w:val="both"/>
      </w:pPr>
      <w:r w:rsidRPr="00AC72C9">
        <w:t>L'Agenzia delle Entrate ha chiarito che le eccedenze di imposta estera non possono essere dedotte o recuperate in Italia, causando una doppia imposizione se la ritenuta estera supera quella convenzionale o non è scomputabile.</w:t>
      </w:r>
    </w:p>
    <w:p w14:paraId="7B311826" w14:textId="420DA630" w:rsidR="000F1323" w:rsidRDefault="00AC72C9" w:rsidP="00E94474">
      <w:pPr>
        <w:jc w:val="both"/>
      </w:pPr>
      <w:r>
        <w:t>È opportuno</w:t>
      </w:r>
      <w:r w:rsidR="007D5278">
        <w:t xml:space="preserve"> </w:t>
      </w:r>
      <w:r>
        <w:t xml:space="preserve">segnalare </w:t>
      </w:r>
      <w:r w:rsidR="00AB0B6B">
        <w:t xml:space="preserve">che </w:t>
      </w:r>
      <w:r>
        <w:t>recent</w:t>
      </w:r>
      <w:r w:rsidR="008D035E">
        <w:t>i</w:t>
      </w:r>
      <w:r>
        <w:t xml:space="preserve"> pronunc</w:t>
      </w:r>
      <w:r w:rsidR="008D035E">
        <w:t>e</w:t>
      </w:r>
      <w:r>
        <w:t xml:space="preserve"> della </w:t>
      </w:r>
      <w:r w:rsidR="00E94474" w:rsidRPr="00E94474">
        <w:t xml:space="preserve">Cassazione </w:t>
      </w:r>
      <w:r w:rsidR="007D5278">
        <w:t>(</w:t>
      </w:r>
      <w:r w:rsidR="00E94474" w:rsidRPr="00E94474">
        <w:t>25698/202</w:t>
      </w:r>
      <w:r w:rsidR="00501AEA">
        <w:t>2</w:t>
      </w:r>
      <w:r w:rsidR="008D035E">
        <w:t xml:space="preserve"> e 10204/2024</w:t>
      </w:r>
      <w:r w:rsidR="007D5278">
        <w:t>)</w:t>
      </w:r>
      <w:r w:rsidR="00E94474" w:rsidRPr="00E94474">
        <w:t xml:space="preserve"> </w:t>
      </w:r>
      <w:r w:rsidR="00501AEA">
        <w:t>e alcun</w:t>
      </w:r>
      <w:r w:rsidR="008D035E">
        <w:t xml:space="preserve">i tribunali di merito </w:t>
      </w:r>
      <w:r w:rsidR="00E94474" w:rsidRPr="00E94474">
        <w:t>ha</w:t>
      </w:r>
      <w:r w:rsidR="008D035E">
        <w:t>nno</w:t>
      </w:r>
      <w:r w:rsidR="00E94474" w:rsidRPr="00E94474">
        <w:t xml:space="preserve"> riconosciuto </w:t>
      </w:r>
      <w:r w:rsidR="00E94474" w:rsidRPr="00E94474">
        <w:rPr>
          <w:b/>
          <w:bCs/>
        </w:rPr>
        <w:t>la possibilità di chiedere a rimborso le ritenute estere non scomputate dalla sostitutiva italiana</w:t>
      </w:r>
      <w:r w:rsidR="00E94474" w:rsidRPr="00E94474">
        <w:t xml:space="preserve">, sia per i dividendi percepiti direttamente sia tramite intermediario. Tuttavia, questa posizione non è stata ancora recepita dall’Agenzia delle Entrate, che </w:t>
      </w:r>
      <w:r w:rsidR="00E94474" w:rsidRPr="00E94474">
        <w:rPr>
          <w:b/>
          <w:bCs/>
        </w:rPr>
        <w:t xml:space="preserve">continua a negare il diritto al credito d’imposta </w:t>
      </w:r>
      <w:r w:rsidR="00E94474" w:rsidRPr="00E94474">
        <w:t>o alla deducibilità delle ritenute estere in presenza di imposizione sostitutiva.</w:t>
      </w:r>
    </w:p>
    <w:p w14:paraId="488ED78A" w14:textId="77777777" w:rsidR="000F1323" w:rsidRDefault="000F1323">
      <w:r>
        <w:br w:type="page"/>
      </w:r>
    </w:p>
    <w:p w14:paraId="557EF1F1" w14:textId="2833D0BE" w:rsidR="007E2FCA" w:rsidRDefault="000F1323" w:rsidP="007E2FCA">
      <w:pPr>
        <w:pStyle w:val="Titolo1"/>
        <w:jc w:val="both"/>
      </w:pPr>
      <w:r>
        <w:lastRenderedPageBreak/>
        <w:t>I</w:t>
      </w:r>
      <w:r w:rsidR="004125E3">
        <w:t>l trattamento dei conti correnti</w:t>
      </w:r>
    </w:p>
    <w:p w14:paraId="03361642" w14:textId="38130011" w:rsidR="00210D47" w:rsidRDefault="00210D47" w:rsidP="00210D47">
      <w:r>
        <w:t>Il tool prevede anche un’assistenza per il trattamento dei conti correnti e altri redditi di fonte estera.</w:t>
      </w:r>
    </w:p>
    <w:p w14:paraId="694E53BE" w14:textId="77777777" w:rsidR="00B64C64" w:rsidRDefault="00B64C64" w:rsidP="00B64C64">
      <w:pPr>
        <w:keepNext/>
      </w:pPr>
      <w:r>
        <w:rPr>
          <w:noProof/>
        </w:rPr>
        <w:drawing>
          <wp:inline distT="0" distB="0" distL="0" distR="0" wp14:anchorId="552DC0F9" wp14:editId="52E325FE">
            <wp:extent cx="6120130" cy="2821940"/>
            <wp:effectExtent l="19050" t="19050" r="13970" b="16510"/>
            <wp:docPr id="208546190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1907" name="Immagine 1" descr="Immagine che contiene testo, schermata, Carattere, numero&#10;&#10;Il contenuto generato dall'IA potrebbe non essere corretto."/>
                    <pic:cNvPicPr/>
                  </pic:nvPicPr>
                  <pic:blipFill>
                    <a:blip r:embed="rId15"/>
                    <a:stretch>
                      <a:fillRect/>
                    </a:stretch>
                  </pic:blipFill>
                  <pic:spPr>
                    <a:xfrm>
                      <a:off x="0" y="0"/>
                      <a:ext cx="6120130" cy="2821940"/>
                    </a:xfrm>
                    <a:prstGeom prst="rect">
                      <a:avLst/>
                    </a:prstGeom>
                    <a:ln>
                      <a:solidFill>
                        <a:schemeClr val="accent1"/>
                      </a:solidFill>
                    </a:ln>
                  </pic:spPr>
                </pic:pic>
              </a:graphicData>
            </a:graphic>
          </wp:inline>
        </w:drawing>
      </w:r>
    </w:p>
    <w:p w14:paraId="47892F8E" w14:textId="5BBBEFB6" w:rsidR="00210D47" w:rsidRPr="00210D47" w:rsidRDefault="00B64C64" w:rsidP="00B64C64">
      <w:pPr>
        <w:pStyle w:val="Didascalia"/>
      </w:pPr>
      <w:r>
        <w:t xml:space="preserve">Figura </w:t>
      </w:r>
      <w:fldSimple w:instr=" SEQ Figura \* ARABIC ">
        <w:r w:rsidR="00153573">
          <w:rPr>
            <w:noProof/>
          </w:rPr>
          <w:t>8</w:t>
        </w:r>
      </w:fldSimple>
      <w:r>
        <w:t>: Compilazione di tutti i quadri e prospetti previsti</w:t>
      </w:r>
    </w:p>
    <w:p w14:paraId="11765E09" w14:textId="167385F8" w:rsidR="00CB6526" w:rsidRDefault="00CB6526" w:rsidP="00CB6526">
      <w:pPr>
        <w:pStyle w:val="Titolo3"/>
      </w:pPr>
      <w:r>
        <w:t>I conti correnti esteri</w:t>
      </w:r>
    </w:p>
    <w:p w14:paraId="47A79597" w14:textId="7097FA9D" w:rsidR="00AB7A53" w:rsidRDefault="00AB7A53" w:rsidP="00AB7A53">
      <w:r w:rsidRPr="00AB7A53">
        <w:t>L’obbligo di compilazione del quadro RW per i conti correnti esteri si verifica in due casi distinti:</w:t>
      </w:r>
    </w:p>
    <w:p w14:paraId="1A93352D" w14:textId="77777777" w:rsidR="00AB7A53" w:rsidRDefault="00AB7A53" w:rsidP="00B8244B">
      <w:pPr>
        <w:pStyle w:val="Paragrafoelenco"/>
        <w:numPr>
          <w:ilvl w:val="0"/>
          <w:numId w:val="21"/>
        </w:numPr>
        <w:jc w:val="both"/>
      </w:pPr>
      <w:r w:rsidRPr="00AB7A53">
        <w:rPr>
          <w:b/>
        </w:rPr>
        <w:t>Monitoraggio fiscale:</w:t>
      </w:r>
      <w:r w:rsidRPr="00AB7A53">
        <w:t xml:space="preserve"> qualora il </w:t>
      </w:r>
      <w:r w:rsidRPr="001B5C39">
        <w:rPr>
          <w:b/>
          <w:bCs/>
        </w:rPr>
        <w:t>saldo massimo giornaliero del conto estero superi i 15.000 euro</w:t>
      </w:r>
      <w:r w:rsidRPr="00AB7A53">
        <w:t xml:space="preserve"> anche solo per un giorno nell’anno, indipendentemente dalla giacenza media, è obbligatoria la compilazione del quadro RW ai fini del monitoraggio fiscale.</w:t>
      </w:r>
    </w:p>
    <w:p w14:paraId="2851CF4A" w14:textId="400FBA54" w:rsidR="00AB7A53" w:rsidRDefault="00AB7A53" w:rsidP="00B8244B">
      <w:pPr>
        <w:pStyle w:val="Paragrafoelenco"/>
        <w:numPr>
          <w:ilvl w:val="0"/>
          <w:numId w:val="21"/>
        </w:numPr>
        <w:jc w:val="both"/>
      </w:pPr>
      <w:r w:rsidRPr="00AB7A53">
        <w:rPr>
          <w:b/>
        </w:rPr>
        <w:t>IVAFE:</w:t>
      </w:r>
      <w:r w:rsidRPr="00AB7A53">
        <w:t xml:space="preserve"> se la </w:t>
      </w:r>
      <w:r w:rsidRPr="001B5C39">
        <w:rPr>
          <w:b/>
          <w:bCs/>
        </w:rPr>
        <w:t>giacenza media annua supera i 5.000 euro</w:t>
      </w:r>
      <w:r w:rsidRPr="00AB7A53">
        <w:t>, anche se il saldo massimo non supera i 15.000 euro, il quadro RW va compilato per il calcolo dell’IVAFE (imposta fissa di</w:t>
      </w:r>
      <w:r w:rsidR="00AC053D">
        <w:t xml:space="preserve"> </w:t>
      </w:r>
      <w:r w:rsidRPr="00AB7A53">
        <w:t xml:space="preserve">34,20 </w:t>
      </w:r>
      <w:r w:rsidR="00AC053D">
        <w:t xml:space="preserve">euro </w:t>
      </w:r>
      <w:r w:rsidRPr="00AB7A53">
        <w:t>per le persone fisiche).</w:t>
      </w:r>
    </w:p>
    <w:p w14:paraId="6B47525B" w14:textId="4D7E0EDA" w:rsidR="00AB7A53" w:rsidRDefault="00437CEF" w:rsidP="00237864">
      <w:pPr>
        <w:jc w:val="both"/>
      </w:pPr>
      <w:r>
        <w:t>Si rammenta che</w:t>
      </w:r>
      <w:r w:rsidR="00AA532D">
        <w:t xml:space="preserve">, </w:t>
      </w:r>
      <w:r>
        <w:t>s</w:t>
      </w:r>
      <w:r w:rsidR="00AB7A53" w:rsidRPr="00AB7A53">
        <w:t>e il conto è cointestato, ogni intestatario deve dichiarare la propria quota di possesso, salvo piena disponibilità del conto, caso in cui va dichiarato l’intero valore. L’obbligo di</w:t>
      </w:r>
      <w:r w:rsidR="00AF1F0D">
        <w:t xml:space="preserve"> </w:t>
      </w:r>
      <w:r w:rsidR="00AB7A53" w:rsidRPr="00AB7A53">
        <w:t>dichiarazione vale anche per chi ha solo la delega sul conto estero. L’omessa dichiarazione comporta sanzioni dal 3% al 15% dell’importo non dichiarato, raddoppiate per conti in Paesi black list.</w:t>
      </w:r>
    </w:p>
    <w:p w14:paraId="690E3DF2" w14:textId="77777777" w:rsidR="00153573" w:rsidRDefault="00153573" w:rsidP="00153573">
      <w:pPr>
        <w:keepNext/>
        <w:jc w:val="both"/>
      </w:pPr>
      <w:r>
        <w:rPr>
          <w:noProof/>
        </w:rPr>
        <w:lastRenderedPageBreak/>
        <w:drawing>
          <wp:inline distT="0" distB="0" distL="0" distR="0" wp14:anchorId="76E564EC" wp14:editId="793A6B6A">
            <wp:extent cx="6120130" cy="1325245"/>
            <wp:effectExtent l="19050" t="19050" r="13970" b="27305"/>
            <wp:docPr id="321072007"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2007" name="Immagine 1" descr="Immagine che contiene testo, Carattere, linea, schermata&#10;&#10;Il contenuto generato dall'IA potrebbe non essere corretto."/>
                    <pic:cNvPicPr/>
                  </pic:nvPicPr>
                  <pic:blipFill>
                    <a:blip r:embed="rId16"/>
                    <a:stretch>
                      <a:fillRect/>
                    </a:stretch>
                  </pic:blipFill>
                  <pic:spPr>
                    <a:xfrm>
                      <a:off x="0" y="0"/>
                      <a:ext cx="6120130" cy="1325245"/>
                    </a:xfrm>
                    <a:prstGeom prst="rect">
                      <a:avLst/>
                    </a:prstGeom>
                    <a:ln>
                      <a:solidFill>
                        <a:schemeClr val="accent1"/>
                      </a:solidFill>
                    </a:ln>
                  </pic:spPr>
                </pic:pic>
              </a:graphicData>
            </a:graphic>
          </wp:inline>
        </w:drawing>
      </w:r>
    </w:p>
    <w:p w14:paraId="4A138549" w14:textId="2424EDBE" w:rsidR="00AA532D" w:rsidRDefault="00153573" w:rsidP="00153573">
      <w:pPr>
        <w:pStyle w:val="Didascalia"/>
        <w:jc w:val="both"/>
      </w:pPr>
      <w:r>
        <w:t xml:space="preserve">Figura </w:t>
      </w:r>
      <w:fldSimple w:instr=" SEQ Figura \* ARABIC ">
        <w:r>
          <w:rPr>
            <w:noProof/>
          </w:rPr>
          <w:t>9</w:t>
        </w:r>
      </w:fldSimple>
      <w:r>
        <w:t>: Inserimento dei dati di conto corrente</w:t>
      </w:r>
    </w:p>
    <w:p w14:paraId="5751223D" w14:textId="36C3E6BF" w:rsidR="00AA532D" w:rsidRDefault="00AA532D" w:rsidP="00AA532D">
      <w:pPr>
        <w:pStyle w:val="Titolo3"/>
      </w:pPr>
      <w:r>
        <w:t>I conti correnti in valuta</w:t>
      </w:r>
    </w:p>
    <w:p w14:paraId="4FEF3E84" w14:textId="07839C3F" w:rsidR="00E81EFE" w:rsidRPr="00E81EFE" w:rsidRDefault="009D3944" w:rsidP="00E81EFE">
      <w:pPr>
        <w:jc w:val="both"/>
        <w:rPr>
          <w:b/>
          <w:bCs/>
        </w:rPr>
      </w:pPr>
      <w:r>
        <w:t xml:space="preserve">Laddove </w:t>
      </w:r>
      <w:r w:rsidR="00716E01" w:rsidRPr="00E81EFE">
        <w:t xml:space="preserve">la </w:t>
      </w:r>
      <w:r w:rsidR="00716E01" w:rsidRPr="00E81EFE">
        <w:rPr>
          <w:b/>
          <w:bCs/>
        </w:rPr>
        <w:t>giacenza complessiva</w:t>
      </w:r>
      <w:r w:rsidR="00716E01" w:rsidRPr="00E81EFE">
        <w:t xml:space="preserve"> d</w:t>
      </w:r>
      <w:r>
        <w:t>i tutti i</w:t>
      </w:r>
      <w:r w:rsidR="00716E01" w:rsidRPr="00E81EFE">
        <w:t xml:space="preserve"> conti in valuta detenuti dal contribuente super</w:t>
      </w:r>
      <w:r>
        <w:t>i</w:t>
      </w:r>
      <w:r w:rsidR="00716E01" w:rsidRPr="00E81EFE">
        <w:t xml:space="preserve"> la soglia di </w:t>
      </w:r>
      <w:r w:rsidR="00716E01" w:rsidRPr="00E81EFE">
        <w:rPr>
          <w:b/>
          <w:bCs/>
        </w:rPr>
        <w:t>51.645,69 euro</w:t>
      </w:r>
      <w:r w:rsidR="00716E01" w:rsidRPr="00E81EFE">
        <w:t xml:space="preserve"> per almeno </w:t>
      </w:r>
      <w:r w:rsidR="00716E01" w:rsidRPr="00E81EFE">
        <w:rPr>
          <w:b/>
          <w:bCs/>
        </w:rPr>
        <w:t>sette giorni lavorativi consecutivi</w:t>
      </w:r>
      <w:r w:rsidR="00716E01" w:rsidRPr="00E81EFE">
        <w:t xml:space="preserve"> nell’anno solare</w:t>
      </w:r>
      <w:r w:rsidR="00716E01">
        <w:t>,</w:t>
      </w:r>
      <w:r w:rsidR="00373C14">
        <w:t xml:space="preserve"> </w:t>
      </w:r>
      <w:r>
        <w:t>scatta</w:t>
      </w:r>
      <w:r w:rsidR="00373C14">
        <w:t xml:space="preserve"> un ulteriore obbligo: </w:t>
      </w:r>
      <w:r w:rsidR="00373C14" w:rsidRPr="00F84365">
        <w:rPr>
          <w:b/>
          <w:bCs/>
        </w:rPr>
        <w:t xml:space="preserve">tutti i prelievi </w:t>
      </w:r>
      <w:r w:rsidRPr="00F84365">
        <w:rPr>
          <w:b/>
          <w:bCs/>
        </w:rPr>
        <w:t xml:space="preserve">sono </w:t>
      </w:r>
      <w:r w:rsidR="00373C14" w:rsidRPr="00F84365">
        <w:rPr>
          <w:b/>
          <w:bCs/>
        </w:rPr>
        <w:t xml:space="preserve">da considerarsi vendite di valuta e pertanto </w:t>
      </w:r>
      <w:r w:rsidR="004A4DCF" w:rsidRPr="00F84365">
        <w:rPr>
          <w:b/>
          <w:bCs/>
        </w:rPr>
        <w:t>su ogni prelievo occorre applicare il</w:t>
      </w:r>
      <w:r w:rsidR="00716E01" w:rsidRPr="00F84365">
        <w:rPr>
          <w:b/>
          <w:bCs/>
        </w:rPr>
        <w:t xml:space="preserve"> </w:t>
      </w:r>
      <w:r w:rsidR="004A4DCF" w:rsidRPr="00F84365">
        <w:rPr>
          <w:b/>
          <w:bCs/>
        </w:rPr>
        <w:t xml:space="preserve">metodo LIFO per il calcolo di plusvalenze e minusvalenze come previsto </w:t>
      </w:r>
      <w:r w:rsidR="00E81EFE" w:rsidRPr="00E81EFE">
        <w:rPr>
          <w:b/>
          <w:bCs/>
        </w:rPr>
        <w:t>d</w:t>
      </w:r>
      <w:r w:rsidR="004A4DCF" w:rsidRPr="00F84365">
        <w:rPr>
          <w:b/>
          <w:bCs/>
        </w:rPr>
        <w:t>a</w:t>
      </w:r>
      <w:r w:rsidR="00E81EFE" w:rsidRPr="00E81EFE">
        <w:rPr>
          <w:b/>
          <w:bCs/>
        </w:rPr>
        <w:t>ll’art. 67, comma 1-ter, TUIR.</w:t>
      </w:r>
    </w:p>
    <w:p w14:paraId="7507B737" w14:textId="31D4AB7A" w:rsidR="00E81EFE" w:rsidRPr="00E81EFE" w:rsidRDefault="00E81EFE" w:rsidP="004A4DCF">
      <w:pPr>
        <w:jc w:val="both"/>
      </w:pPr>
      <w:r w:rsidRPr="00E81EFE">
        <w:t xml:space="preserve">Secondo la risposta dell’Agenzia delle Entrate n. 204/2023, il criterio LIFO va applicato </w:t>
      </w:r>
      <w:r w:rsidRPr="00E81EFE">
        <w:rPr>
          <w:b/>
          <w:bCs/>
        </w:rPr>
        <w:t>singolarmente per ciascun conto corrente in valuta estera</w:t>
      </w:r>
      <w:r w:rsidRPr="00E81EFE">
        <w:t>. Non si aggregano le movimentazioni tra diversi conti nella stessa valuta: per ogni prelievo si considera la sequenza dei versamenti (o “carichi”) fatti su quel conto specifico, partendo da quello più recente.</w:t>
      </w:r>
    </w:p>
    <w:p w14:paraId="440CADB8" w14:textId="4C14CEA7" w:rsidR="00E81EFE" w:rsidRPr="00E81EFE" w:rsidRDefault="00E81EFE" w:rsidP="00927462">
      <w:pPr>
        <w:jc w:val="both"/>
      </w:pPr>
      <w:r w:rsidRPr="00E81EFE">
        <w:t>Ogni volta che si effettua un prelievo (o una cessione) di valuta, si considera come “ceduta” per prima la valuta acquisita più di recente su quel conto. La plusvalenza è data dalla differenza tra il cambio del giorno del prelievo e il costo della valuta (cioè il cambio storico del versamento più recente, e così via a ritroso se il prelievo supera il carico più recente).</w:t>
      </w:r>
    </w:p>
    <w:p w14:paraId="4D181856" w14:textId="4A38442E" w:rsidR="003E477D" w:rsidRDefault="00CB6526" w:rsidP="00CB6526">
      <w:pPr>
        <w:pStyle w:val="Titolo3"/>
      </w:pPr>
      <w:r>
        <w:t>I versamenti su conti correnti black list</w:t>
      </w:r>
    </w:p>
    <w:p w14:paraId="6B3D2894" w14:textId="442938A8" w:rsidR="00EC211A" w:rsidRDefault="00495CB3" w:rsidP="00495CB3">
      <w:pPr>
        <w:jc w:val="both"/>
      </w:pPr>
      <w:r w:rsidRPr="00495CB3">
        <w:t xml:space="preserve">I versamenti su conti correnti in Paesi a fiscalità privilegiata ("black list") sono monitorati dall'Agenzia delle Entrate. Se il contribuente non prova la liceità o tassazione delle somme, queste possono essere dichiarate reddito imponibile in Italia e tassate come “redditi diversi” nel quadro RL. L’omessa dichiarazione espone a rischi di accertamento, sanzioni per infedele dichiarazione dei redditi (dal 90% al 180% della maggiore imposta dovuta) e possibili responsabilità penali nei casi </w:t>
      </w:r>
      <w:r w:rsidR="0086778C">
        <w:t xml:space="preserve">di </w:t>
      </w:r>
      <w:r w:rsidR="00906ADA">
        <w:t xml:space="preserve">riciclaggio e </w:t>
      </w:r>
      <w:r w:rsidR="0086778C">
        <w:t>autorici</w:t>
      </w:r>
      <w:r w:rsidR="00906ADA">
        <w:t>claggio</w:t>
      </w:r>
      <w:r w:rsidRPr="00495CB3">
        <w:t xml:space="preserve">. Per </w:t>
      </w:r>
      <w:r>
        <w:t xml:space="preserve">sfuggire a detta </w:t>
      </w:r>
      <w:r w:rsidRPr="00495CB3">
        <w:t>presunzion</w:t>
      </w:r>
      <w:r>
        <w:t>e</w:t>
      </w:r>
      <w:r w:rsidRPr="00495CB3">
        <w:t>, il contribuente deve fornire documentazione che dimostri la natura non reddituale delle somme (es. donazioni, eredità già tassate, trasferimenti da conti italiani)</w:t>
      </w:r>
      <w:r w:rsidR="00980CA3">
        <w:t xml:space="preserve"> non limitandosi a spiegazioni generiche</w:t>
      </w:r>
      <w:r w:rsidRPr="00495CB3">
        <w:t>.</w:t>
      </w:r>
    </w:p>
    <w:p w14:paraId="1C998995" w14:textId="79A2791F" w:rsidR="00136FD8" w:rsidRDefault="00136FD8" w:rsidP="00136FD8">
      <w:pPr>
        <w:pStyle w:val="Titolo2"/>
      </w:pPr>
      <w:r>
        <w:t>Conclusione</w:t>
      </w:r>
    </w:p>
    <w:p w14:paraId="35BF9AF8" w14:textId="524713C2" w:rsidR="009C7667" w:rsidRDefault="009C7667" w:rsidP="009C7667">
      <w:pPr>
        <w:jc w:val="both"/>
      </w:pPr>
      <w:r w:rsidRPr="009C7667">
        <w:t xml:space="preserve">La gestione dei beni e dei redditi esteri rappresenta una delle sfide più complesse per i contribuenti </w:t>
      </w:r>
      <w:r w:rsidRPr="00980CA3">
        <w:t>italiani</w:t>
      </w:r>
      <w:r w:rsidRPr="009C7667">
        <w:t>. La corretta compilazione del quadro RW è essenziale per evitare sanzioni e garantire la trasparenza fiscale. È fondamentale</w:t>
      </w:r>
      <w:r w:rsidR="0079515B">
        <w:t xml:space="preserve"> individuare </w:t>
      </w:r>
      <w:r w:rsidR="008E0B3C">
        <w:t xml:space="preserve">strumenti e strategia per semplificare </w:t>
      </w:r>
      <w:r w:rsidR="00533F7C">
        <w:t>l’adempimento</w:t>
      </w:r>
      <w:r w:rsidR="00B1725C">
        <w:t xml:space="preserve"> e </w:t>
      </w:r>
      <w:r w:rsidR="002E705A">
        <w:t xml:space="preserve">questo è </w:t>
      </w:r>
      <w:r w:rsidR="00B1725C">
        <w:t xml:space="preserve">l’intento </w:t>
      </w:r>
      <w:r w:rsidR="002E705A">
        <w:t>che ha orientato alla costruzione de</w:t>
      </w:r>
      <w:r w:rsidRPr="009C7667">
        <w:t xml:space="preserve">l tool </w:t>
      </w:r>
      <w:r w:rsidR="00A226EC">
        <w:rPr>
          <w:i/>
          <w:iCs/>
        </w:rPr>
        <w:t>Quadro RW_24_2025</w:t>
      </w:r>
      <w:r w:rsidR="002E705A">
        <w:t>.</w:t>
      </w:r>
      <w:r w:rsidRPr="009C7667">
        <w:t xml:space="preserve"> </w:t>
      </w:r>
      <w:r w:rsidR="00E24419">
        <w:t xml:space="preserve">In questo articolo ci siamo </w:t>
      </w:r>
      <w:r w:rsidR="00021E3E">
        <w:t>limitati a</w:t>
      </w:r>
      <w:r w:rsidR="00685CAC">
        <w:t xml:space="preserve">d affrontare il tema dei quadri da </w:t>
      </w:r>
      <w:r w:rsidR="00685CAC">
        <w:lastRenderedPageBreak/>
        <w:t xml:space="preserve">dichiarare e i calcoli </w:t>
      </w:r>
      <w:r w:rsidR="00FC6D4E">
        <w:t>di supporto</w:t>
      </w:r>
      <w:r w:rsidR="00E82FD5">
        <w:t xml:space="preserve"> mentre n</w:t>
      </w:r>
      <w:r w:rsidRPr="009C7667">
        <w:t xml:space="preserve">el prossimo articolo approfondiremo la compilazione della dichiarazione dei redditi, fornendo una guida pratica per affrontare </w:t>
      </w:r>
      <w:r w:rsidR="00E82FD5">
        <w:t>la compilazione dei quadri.</w:t>
      </w:r>
    </w:p>
    <w:p w14:paraId="54BF9E65" w14:textId="77777777" w:rsidR="005400C3" w:rsidRPr="009C7667" w:rsidRDefault="005400C3" w:rsidP="009C7667">
      <w:pPr>
        <w:jc w:val="both"/>
      </w:pPr>
    </w:p>
    <w:sectPr w:rsidR="005400C3" w:rsidRPr="009C766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3C"/>
    <w:multiLevelType w:val="multilevel"/>
    <w:tmpl w:val="408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A3D"/>
    <w:multiLevelType w:val="hybridMultilevel"/>
    <w:tmpl w:val="B3F0B2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641858"/>
    <w:multiLevelType w:val="multilevel"/>
    <w:tmpl w:val="39AC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1E1F"/>
    <w:multiLevelType w:val="multilevel"/>
    <w:tmpl w:val="744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97E10"/>
    <w:multiLevelType w:val="hybridMultilevel"/>
    <w:tmpl w:val="09E4C7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C07700A"/>
    <w:multiLevelType w:val="hybridMultilevel"/>
    <w:tmpl w:val="19B452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12678E5"/>
    <w:multiLevelType w:val="multilevel"/>
    <w:tmpl w:val="78B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C72395"/>
    <w:multiLevelType w:val="multilevel"/>
    <w:tmpl w:val="8C4C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F74CE"/>
    <w:multiLevelType w:val="multilevel"/>
    <w:tmpl w:val="AEE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24051"/>
    <w:multiLevelType w:val="multilevel"/>
    <w:tmpl w:val="534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7323D4"/>
    <w:multiLevelType w:val="multilevel"/>
    <w:tmpl w:val="6E3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55232"/>
    <w:multiLevelType w:val="multilevel"/>
    <w:tmpl w:val="1DA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33DC0"/>
    <w:multiLevelType w:val="multilevel"/>
    <w:tmpl w:val="482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94DAF"/>
    <w:multiLevelType w:val="multilevel"/>
    <w:tmpl w:val="E94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53F6A"/>
    <w:multiLevelType w:val="multilevel"/>
    <w:tmpl w:val="317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C234E"/>
    <w:multiLevelType w:val="multilevel"/>
    <w:tmpl w:val="207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F1859"/>
    <w:multiLevelType w:val="hybridMultilevel"/>
    <w:tmpl w:val="94D8B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0416DF5"/>
    <w:multiLevelType w:val="multilevel"/>
    <w:tmpl w:val="61F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BE483D"/>
    <w:multiLevelType w:val="multilevel"/>
    <w:tmpl w:val="42C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F4017"/>
    <w:multiLevelType w:val="hybridMultilevel"/>
    <w:tmpl w:val="D8E2C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67559BA"/>
    <w:multiLevelType w:val="multilevel"/>
    <w:tmpl w:val="20F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0B286B"/>
    <w:multiLevelType w:val="hybridMultilevel"/>
    <w:tmpl w:val="95B00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83A4AB3"/>
    <w:multiLevelType w:val="multilevel"/>
    <w:tmpl w:val="0CB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E2FBA"/>
    <w:multiLevelType w:val="multilevel"/>
    <w:tmpl w:val="6CC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26E87"/>
    <w:multiLevelType w:val="hybridMultilevel"/>
    <w:tmpl w:val="0D525A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EAD2AED"/>
    <w:multiLevelType w:val="multilevel"/>
    <w:tmpl w:val="26AA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30E11"/>
    <w:multiLevelType w:val="multilevel"/>
    <w:tmpl w:val="90B2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EC26D5"/>
    <w:multiLevelType w:val="multilevel"/>
    <w:tmpl w:val="F6C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08385">
    <w:abstractNumId w:val="21"/>
  </w:num>
  <w:num w:numId="2" w16cid:durableId="1142387729">
    <w:abstractNumId w:val="1"/>
  </w:num>
  <w:num w:numId="3" w16cid:durableId="1475758470">
    <w:abstractNumId w:val="19"/>
  </w:num>
  <w:num w:numId="4" w16cid:durableId="1461265023">
    <w:abstractNumId w:val="5"/>
  </w:num>
  <w:num w:numId="5" w16cid:durableId="1847553931">
    <w:abstractNumId w:val="24"/>
  </w:num>
  <w:num w:numId="6" w16cid:durableId="2085644105">
    <w:abstractNumId w:val="4"/>
  </w:num>
  <w:num w:numId="7" w16cid:durableId="32660401">
    <w:abstractNumId w:val="15"/>
  </w:num>
  <w:num w:numId="8" w16cid:durableId="1869952406">
    <w:abstractNumId w:val="3"/>
  </w:num>
  <w:num w:numId="9" w16cid:durableId="2066563647">
    <w:abstractNumId w:val="2"/>
  </w:num>
  <w:num w:numId="10" w16cid:durableId="2086953157">
    <w:abstractNumId w:val="12"/>
  </w:num>
  <w:num w:numId="11" w16cid:durableId="1476530760">
    <w:abstractNumId w:val="14"/>
  </w:num>
  <w:num w:numId="12" w16cid:durableId="894512911">
    <w:abstractNumId w:val="27"/>
  </w:num>
  <w:num w:numId="13" w16cid:durableId="1231230922">
    <w:abstractNumId w:val="7"/>
  </w:num>
  <w:num w:numId="14" w16cid:durableId="1980962946">
    <w:abstractNumId w:val="25"/>
  </w:num>
  <w:num w:numId="15" w16cid:durableId="1458261843">
    <w:abstractNumId w:val="18"/>
  </w:num>
  <w:num w:numId="16" w16cid:durableId="103353879">
    <w:abstractNumId w:val="23"/>
  </w:num>
  <w:num w:numId="17" w16cid:durableId="974414113">
    <w:abstractNumId w:val="11"/>
  </w:num>
  <w:num w:numId="18" w16cid:durableId="910693388">
    <w:abstractNumId w:val="22"/>
  </w:num>
  <w:num w:numId="19" w16cid:durableId="22562811">
    <w:abstractNumId w:val="10"/>
  </w:num>
  <w:num w:numId="20" w16cid:durableId="1785078001">
    <w:abstractNumId w:val="26"/>
  </w:num>
  <w:num w:numId="21" w16cid:durableId="1674382842">
    <w:abstractNumId w:val="16"/>
  </w:num>
  <w:num w:numId="22" w16cid:durableId="283536186">
    <w:abstractNumId w:val="0"/>
  </w:num>
  <w:num w:numId="23" w16cid:durableId="699203604">
    <w:abstractNumId w:val="13"/>
  </w:num>
  <w:num w:numId="24" w16cid:durableId="1261985700">
    <w:abstractNumId w:val="8"/>
  </w:num>
  <w:num w:numId="25" w16cid:durableId="178156418">
    <w:abstractNumId w:val="9"/>
  </w:num>
  <w:num w:numId="26" w16cid:durableId="1886216871">
    <w:abstractNumId w:val="17"/>
  </w:num>
  <w:num w:numId="27" w16cid:durableId="1627731741">
    <w:abstractNumId w:val="20"/>
  </w:num>
  <w:num w:numId="28" w16cid:durableId="1819611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55"/>
    <w:rsid w:val="00014347"/>
    <w:rsid w:val="00021E3E"/>
    <w:rsid w:val="00025A97"/>
    <w:rsid w:val="000527CF"/>
    <w:rsid w:val="0007044C"/>
    <w:rsid w:val="000839A7"/>
    <w:rsid w:val="00091820"/>
    <w:rsid w:val="00093DE5"/>
    <w:rsid w:val="000C2C02"/>
    <w:rsid w:val="000E4269"/>
    <w:rsid w:val="000E5198"/>
    <w:rsid w:val="000F1323"/>
    <w:rsid w:val="00123E21"/>
    <w:rsid w:val="00136162"/>
    <w:rsid w:val="00136FD8"/>
    <w:rsid w:val="00153573"/>
    <w:rsid w:val="00166979"/>
    <w:rsid w:val="001874E8"/>
    <w:rsid w:val="001B5C39"/>
    <w:rsid w:val="001E28B6"/>
    <w:rsid w:val="001E4627"/>
    <w:rsid w:val="001F191B"/>
    <w:rsid w:val="001F7B85"/>
    <w:rsid w:val="00201B88"/>
    <w:rsid w:val="0020274D"/>
    <w:rsid w:val="00210D47"/>
    <w:rsid w:val="00236015"/>
    <w:rsid w:val="00237864"/>
    <w:rsid w:val="00261E87"/>
    <w:rsid w:val="00274471"/>
    <w:rsid w:val="002833A6"/>
    <w:rsid w:val="002937B0"/>
    <w:rsid w:val="002E3861"/>
    <w:rsid w:val="002E705A"/>
    <w:rsid w:val="002E7C26"/>
    <w:rsid w:val="002F637F"/>
    <w:rsid w:val="002F6667"/>
    <w:rsid w:val="00304F10"/>
    <w:rsid w:val="003074D5"/>
    <w:rsid w:val="003176E5"/>
    <w:rsid w:val="00317954"/>
    <w:rsid w:val="003255C0"/>
    <w:rsid w:val="003359E5"/>
    <w:rsid w:val="0034453A"/>
    <w:rsid w:val="00345D19"/>
    <w:rsid w:val="00373C14"/>
    <w:rsid w:val="003815FA"/>
    <w:rsid w:val="00384AF1"/>
    <w:rsid w:val="003A692B"/>
    <w:rsid w:val="003B646D"/>
    <w:rsid w:val="003E2044"/>
    <w:rsid w:val="003E20E8"/>
    <w:rsid w:val="003E477D"/>
    <w:rsid w:val="003E7838"/>
    <w:rsid w:val="004125E3"/>
    <w:rsid w:val="00437CEF"/>
    <w:rsid w:val="00466B5A"/>
    <w:rsid w:val="00484408"/>
    <w:rsid w:val="00495CB3"/>
    <w:rsid w:val="004A4DCF"/>
    <w:rsid w:val="004B49E1"/>
    <w:rsid w:val="004B5B99"/>
    <w:rsid w:val="004D35B3"/>
    <w:rsid w:val="00501AEA"/>
    <w:rsid w:val="00506353"/>
    <w:rsid w:val="005112F8"/>
    <w:rsid w:val="00533F7C"/>
    <w:rsid w:val="005400C3"/>
    <w:rsid w:val="00556BF5"/>
    <w:rsid w:val="0058277B"/>
    <w:rsid w:val="005A6E8B"/>
    <w:rsid w:val="005C3370"/>
    <w:rsid w:val="005C7CE1"/>
    <w:rsid w:val="005D12D8"/>
    <w:rsid w:val="005D1A80"/>
    <w:rsid w:val="006158D4"/>
    <w:rsid w:val="00641BBA"/>
    <w:rsid w:val="00645B41"/>
    <w:rsid w:val="00653841"/>
    <w:rsid w:val="00667BE7"/>
    <w:rsid w:val="0067129F"/>
    <w:rsid w:val="006744D4"/>
    <w:rsid w:val="00685CAC"/>
    <w:rsid w:val="00693AA4"/>
    <w:rsid w:val="006A2EF5"/>
    <w:rsid w:val="006C142C"/>
    <w:rsid w:val="006E0142"/>
    <w:rsid w:val="006F1867"/>
    <w:rsid w:val="00716E01"/>
    <w:rsid w:val="007351E9"/>
    <w:rsid w:val="007458E4"/>
    <w:rsid w:val="00764791"/>
    <w:rsid w:val="00771047"/>
    <w:rsid w:val="0079515B"/>
    <w:rsid w:val="007D5278"/>
    <w:rsid w:val="007E2F45"/>
    <w:rsid w:val="007E2FCA"/>
    <w:rsid w:val="007F6CBF"/>
    <w:rsid w:val="00811BE9"/>
    <w:rsid w:val="0086778C"/>
    <w:rsid w:val="008C5E32"/>
    <w:rsid w:val="008D035E"/>
    <w:rsid w:val="008D0610"/>
    <w:rsid w:val="008D5116"/>
    <w:rsid w:val="008E0B3C"/>
    <w:rsid w:val="008F326F"/>
    <w:rsid w:val="00906ADA"/>
    <w:rsid w:val="00907E1C"/>
    <w:rsid w:val="00923056"/>
    <w:rsid w:val="00927462"/>
    <w:rsid w:val="00962555"/>
    <w:rsid w:val="009639B5"/>
    <w:rsid w:val="00965696"/>
    <w:rsid w:val="009731A2"/>
    <w:rsid w:val="00973E69"/>
    <w:rsid w:val="00974A5C"/>
    <w:rsid w:val="00980CA3"/>
    <w:rsid w:val="00980D42"/>
    <w:rsid w:val="009863B5"/>
    <w:rsid w:val="009B4048"/>
    <w:rsid w:val="009C7667"/>
    <w:rsid w:val="009D0B29"/>
    <w:rsid w:val="009D3944"/>
    <w:rsid w:val="009E3F9D"/>
    <w:rsid w:val="009F307E"/>
    <w:rsid w:val="009F421D"/>
    <w:rsid w:val="00A02E27"/>
    <w:rsid w:val="00A05369"/>
    <w:rsid w:val="00A12D96"/>
    <w:rsid w:val="00A17AD9"/>
    <w:rsid w:val="00A226EC"/>
    <w:rsid w:val="00A24F2B"/>
    <w:rsid w:val="00A26435"/>
    <w:rsid w:val="00A36A80"/>
    <w:rsid w:val="00A42F6C"/>
    <w:rsid w:val="00A50713"/>
    <w:rsid w:val="00A61F1C"/>
    <w:rsid w:val="00A642BF"/>
    <w:rsid w:val="00A644D6"/>
    <w:rsid w:val="00A654AB"/>
    <w:rsid w:val="00A75CDD"/>
    <w:rsid w:val="00A93C40"/>
    <w:rsid w:val="00AA532D"/>
    <w:rsid w:val="00AA674D"/>
    <w:rsid w:val="00AB0B6B"/>
    <w:rsid w:val="00AB6A25"/>
    <w:rsid w:val="00AB7A53"/>
    <w:rsid w:val="00AC053D"/>
    <w:rsid w:val="00AC27B0"/>
    <w:rsid w:val="00AC72C9"/>
    <w:rsid w:val="00AF1F0D"/>
    <w:rsid w:val="00AF306A"/>
    <w:rsid w:val="00B034E2"/>
    <w:rsid w:val="00B1725C"/>
    <w:rsid w:val="00B26787"/>
    <w:rsid w:val="00B31265"/>
    <w:rsid w:val="00B64C64"/>
    <w:rsid w:val="00B8244B"/>
    <w:rsid w:val="00BC2AF0"/>
    <w:rsid w:val="00BD34F9"/>
    <w:rsid w:val="00BD67DF"/>
    <w:rsid w:val="00BE290E"/>
    <w:rsid w:val="00BE43F2"/>
    <w:rsid w:val="00BE4818"/>
    <w:rsid w:val="00BF0C4E"/>
    <w:rsid w:val="00BF4E36"/>
    <w:rsid w:val="00C16984"/>
    <w:rsid w:val="00C2595D"/>
    <w:rsid w:val="00C75795"/>
    <w:rsid w:val="00C770A4"/>
    <w:rsid w:val="00C91F7C"/>
    <w:rsid w:val="00CA19E9"/>
    <w:rsid w:val="00CB6526"/>
    <w:rsid w:val="00CB7AC1"/>
    <w:rsid w:val="00CC2207"/>
    <w:rsid w:val="00D06FC9"/>
    <w:rsid w:val="00D212D0"/>
    <w:rsid w:val="00D40A65"/>
    <w:rsid w:val="00DA072F"/>
    <w:rsid w:val="00DB5700"/>
    <w:rsid w:val="00E24419"/>
    <w:rsid w:val="00E334C2"/>
    <w:rsid w:val="00E65C81"/>
    <w:rsid w:val="00E81EFE"/>
    <w:rsid w:val="00E82FD5"/>
    <w:rsid w:val="00E94474"/>
    <w:rsid w:val="00EB40B7"/>
    <w:rsid w:val="00EB5CBF"/>
    <w:rsid w:val="00EC0147"/>
    <w:rsid w:val="00EC211A"/>
    <w:rsid w:val="00EC668F"/>
    <w:rsid w:val="00ED0735"/>
    <w:rsid w:val="00EE7F40"/>
    <w:rsid w:val="00EF74C3"/>
    <w:rsid w:val="00F136EA"/>
    <w:rsid w:val="00F42E76"/>
    <w:rsid w:val="00F56506"/>
    <w:rsid w:val="00F80AA0"/>
    <w:rsid w:val="00F84365"/>
    <w:rsid w:val="00F87022"/>
    <w:rsid w:val="00F93A27"/>
    <w:rsid w:val="00FC6D4E"/>
    <w:rsid w:val="00FD41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7AEE"/>
  <w15:chartTrackingRefBased/>
  <w15:docId w15:val="{26D41B3B-603D-4923-A977-C86C310C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6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625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625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625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625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25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25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25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25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625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625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625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625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625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25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25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25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25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25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25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25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2555"/>
    <w:rPr>
      <w:i/>
      <w:iCs/>
      <w:color w:val="404040" w:themeColor="text1" w:themeTint="BF"/>
    </w:rPr>
  </w:style>
  <w:style w:type="paragraph" w:styleId="Paragrafoelenco">
    <w:name w:val="List Paragraph"/>
    <w:basedOn w:val="Normale"/>
    <w:uiPriority w:val="34"/>
    <w:qFormat/>
    <w:rsid w:val="00962555"/>
    <w:pPr>
      <w:ind w:left="720"/>
      <w:contextualSpacing/>
    </w:pPr>
  </w:style>
  <w:style w:type="character" w:styleId="Enfasiintensa">
    <w:name w:val="Intense Emphasis"/>
    <w:basedOn w:val="Carpredefinitoparagrafo"/>
    <w:uiPriority w:val="21"/>
    <w:qFormat/>
    <w:rsid w:val="00962555"/>
    <w:rPr>
      <w:i/>
      <w:iCs/>
      <w:color w:val="0F4761" w:themeColor="accent1" w:themeShade="BF"/>
    </w:rPr>
  </w:style>
  <w:style w:type="paragraph" w:styleId="Citazioneintensa">
    <w:name w:val="Intense Quote"/>
    <w:basedOn w:val="Normale"/>
    <w:next w:val="Normale"/>
    <w:link w:val="CitazioneintensaCarattere"/>
    <w:uiPriority w:val="30"/>
    <w:qFormat/>
    <w:rsid w:val="0096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62555"/>
    <w:rPr>
      <w:i/>
      <w:iCs/>
      <w:color w:val="0F4761" w:themeColor="accent1" w:themeShade="BF"/>
    </w:rPr>
  </w:style>
  <w:style w:type="character" w:styleId="Riferimentointenso">
    <w:name w:val="Intense Reference"/>
    <w:basedOn w:val="Carpredefinitoparagrafo"/>
    <w:uiPriority w:val="32"/>
    <w:qFormat/>
    <w:rsid w:val="00962555"/>
    <w:rPr>
      <w:b/>
      <w:bCs/>
      <w:smallCaps/>
      <w:color w:val="0F4761" w:themeColor="accent1" w:themeShade="BF"/>
      <w:spacing w:val="5"/>
    </w:rPr>
  </w:style>
  <w:style w:type="paragraph" w:styleId="Didascalia">
    <w:name w:val="caption"/>
    <w:basedOn w:val="Normale"/>
    <w:next w:val="Normale"/>
    <w:uiPriority w:val="35"/>
    <w:unhideWhenUsed/>
    <w:qFormat/>
    <w:rsid w:val="005D1A80"/>
    <w:pPr>
      <w:spacing w:after="200" w:line="240" w:lineRule="auto"/>
    </w:pPr>
    <w:rPr>
      <w:i/>
      <w:iCs/>
      <w:color w:val="0E2841" w:themeColor="text2"/>
      <w:sz w:val="18"/>
      <w:szCs w:val="18"/>
    </w:rPr>
  </w:style>
  <w:style w:type="paragraph" w:styleId="NormaleWeb">
    <w:name w:val="Normal (Web)"/>
    <w:basedOn w:val="Normale"/>
    <w:uiPriority w:val="99"/>
    <w:semiHidden/>
    <w:unhideWhenUsed/>
    <w:rsid w:val="00BC2AF0"/>
    <w:rPr>
      <w:rFonts w:ascii="Times New Roman" w:hAnsi="Times New Roman" w:cs="Times New Roman"/>
    </w:rPr>
  </w:style>
  <w:style w:type="character" w:styleId="Collegamentoipertestuale">
    <w:name w:val="Hyperlink"/>
    <w:basedOn w:val="Carpredefinitoparagrafo"/>
    <w:uiPriority w:val="99"/>
    <w:unhideWhenUsed/>
    <w:rsid w:val="00E94474"/>
    <w:rPr>
      <w:color w:val="467886" w:themeColor="hyperlink"/>
      <w:u w:val="single"/>
    </w:rPr>
  </w:style>
  <w:style w:type="character" w:styleId="Menzionenonrisolta">
    <w:name w:val="Unresolved Mention"/>
    <w:basedOn w:val="Carpredefinitoparagrafo"/>
    <w:uiPriority w:val="99"/>
    <w:semiHidden/>
    <w:unhideWhenUsed/>
    <w:rsid w:val="00E94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724">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7">
          <w:marLeft w:val="0"/>
          <w:marRight w:val="0"/>
          <w:marTop w:val="0"/>
          <w:marBottom w:val="0"/>
          <w:divBdr>
            <w:top w:val="none" w:sz="0" w:space="0" w:color="auto"/>
            <w:left w:val="none" w:sz="0" w:space="0" w:color="auto"/>
            <w:bottom w:val="none" w:sz="0" w:space="0" w:color="auto"/>
            <w:right w:val="none" w:sz="0" w:space="0" w:color="auto"/>
          </w:divBdr>
          <w:divsChild>
            <w:div w:id="1188786157">
              <w:marLeft w:val="0"/>
              <w:marRight w:val="0"/>
              <w:marTop w:val="0"/>
              <w:marBottom w:val="0"/>
              <w:divBdr>
                <w:top w:val="none" w:sz="0" w:space="0" w:color="auto"/>
                <w:left w:val="none" w:sz="0" w:space="0" w:color="auto"/>
                <w:bottom w:val="none" w:sz="0" w:space="0" w:color="auto"/>
                <w:right w:val="none" w:sz="0" w:space="0" w:color="auto"/>
              </w:divBdr>
              <w:divsChild>
                <w:div w:id="1934825622">
                  <w:marLeft w:val="0"/>
                  <w:marRight w:val="0"/>
                  <w:marTop w:val="0"/>
                  <w:marBottom w:val="0"/>
                  <w:divBdr>
                    <w:top w:val="none" w:sz="0" w:space="0" w:color="auto"/>
                    <w:left w:val="none" w:sz="0" w:space="0" w:color="auto"/>
                    <w:bottom w:val="none" w:sz="0" w:space="0" w:color="auto"/>
                    <w:right w:val="none" w:sz="0" w:space="0" w:color="auto"/>
                  </w:divBdr>
                  <w:divsChild>
                    <w:div w:id="1905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8991">
      <w:bodyDiv w:val="1"/>
      <w:marLeft w:val="0"/>
      <w:marRight w:val="0"/>
      <w:marTop w:val="0"/>
      <w:marBottom w:val="0"/>
      <w:divBdr>
        <w:top w:val="none" w:sz="0" w:space="0" w:color="auto"/>
        <w:left w:val="none" w:sz="0" w:space="0" w:color="auto"/>
        <w:bottom w:val="none" w:sz="0" w:space="0" w:color="auto"/>
        <w:right w:val="none" w:sz="0" w:space="0" w:color="auto"/>
      </w:divBdr>
    </w:div>
    <w:div w:id="152962874">
      <w:bodyDiv w:val="1"/>
      <w:marLeft w:val="0"/>
      <w:marRight w:val="0"/>
      <w:marTop w:val="0"/>
      <w:marBottom w:val="0"/>
      <w:divBdr>
        <w:top w:val="none" w:sz="0" w:space="0" w:color="auto"/>
        <w:left w:val="none" w:sz="0" w:space="0" w:color="auto"/>
        <w:bottom w:val="none" w:sz="0" w:space="0" w:color="auto"/>
        <w:right w:val="none" w:sz="0" w:space="0" w:color="auto"/>
      </w:divBdr>
    </w:div>
    <w:div w:id="228075468">
      <w:bodyDiv w:val="1"/>
      <w:marLeft w:val="0"/>
      <w:marRight w:val="0"/>
      <w:marTop w:val="0"/>
      <w:marBottom w:val="0"/>
      <w:divBdr>
        <w:top w:val="none" w:sz="0" w:space="0" w:color="auto"/>
        <w:left w:val="none" w:sz="0" w:space="0" w:color="auto"/>
        <w:bottom w:val="none" w:sz="0" w:space="0" w:color="auto"/>
        <w:right w:val="none" w:sz="0" w:space="0" w:color="auto"/>
      </w:divBdr>
    </w:div>
    <w:div w:id="427115237">
      <w:bodyDiv w:val="1"/>
      <w:marLeft w:val="0"/>
      <w:marRight w:val="0"/>
      <w:marTop w:val="0"/>
      <w:marBottom w:val="0"/>
      <w:divBdr>
        <w:top w:val="none" w:sz="0" w:space="0" w:color="auto"/>
        <w:left w:val="none" w:sz="0" w:space="0" w:color="auto"/>
        <w:bottom w:val="none" w:sz="0" w:space="0" w:color="auto"/>
        <w:right w:val="none" w:sz="0" w:space="0" w:color="auto"/>
      </w:divBdr>
    </w:div>
    <w:div w:id="444160631">
      <w:bodyDiv w:val="1"/>
      <w:marLeft w:val="0"/>
      <w:marRight w:val="0"/>
      <w:marTop w:val="0"/>
      <w:marBottom w:val="0"/>
      <w:divBdr>
        <w:top w:val="none" w:sz="0" w:space="0" w:color="auto"/>
        <w:left w:val="none" w:sz="0" w:space="0" w:color="auto"/>
        <w:bottom w:val="none" w:sz="0" w:space="0" w:color="auto"/>
        <w:right w:val="none" w:sz="0" w:space="0" w:color="auto"/>
      </w:divBdr>
    </w:div>
    <w:div w:id="562839873">
      <w:bodyDiv w:val="1"/>
      <w:marLeft w:val="0"/>
      <w:marRight w:val="0"/>
      <w:marTop w:val="0"/>
      <w:marBottom w:val="0"/>
      <w:divBdr>
        <w:top w:val="none" w:sz="0" w:space="0" w:color="auto"/>
        <w:left w:val="none" w:sz="0" w:space="0" w:color="auto"/>
        <w:bottom w:val="none" w:sz="0" w:space="0" w:color="auto"/>
        <w:right w:val="none" w:sz="0" w:space="0" w:color="auto"/>
      </w:divBdr>
      <w:divsChild>
        <w:div w:id="1741707001">
          <w:marLeft w:val="0"/>
          <w:marRight w:val="0"/>
          <w:marTop w:val="0"/>
          <w:marBottom w:val="0"/>
          <w:divBdr>
            <w:top w:val="none" w:sz="0" w:space="0" w:color="auto"/>
            <w:left w:val="none" w:sz="0" w:space="0" w:color="auto"/>
            <w:bottom w:val="none" w:sz="0" w:space="0" w:color="auto"/>
            <w:right w:val="none" w:sz="0" w:space="0" w:color="auto"/>
          </w:divBdr>
          <w:divsChild>
            <w:div w:id="1014264888">
              <w:marLeft w:val="0"/>
              <w:marRight w:val="0"/>
              <w:marTop w:val="0"/>
              <w:marBottom w:val="0"/>
              <w:divBdr>
                <w:top w:val="none" w:sz="0" w:space="0" w:color="auto"/>
                <w:left w:val="none" w:sz="0" w:space="0" w:color="auto"/>
                <w:bottom w:val="none" w:sz="0" w:space="0" w:color="auto"/>
                <w:right w:val="none" w:sz="0" w:space="0" w:color="auto"/>
              </w:divBdr>
              <w:divsChild>
                <w:div w:id="1588925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55236">
              <w:marLeft w:val="0"/>
              <w:marRight w:val="0"/>
              <w:marTop w:val="0"/>
              <w:marBottom w:val="0"/>
              <w:divBdr>
                <w:top w:val="none" w:sz="0" w:space="0" w:color="auto"/>
                <w:left w:val="none" w:sz="0" w:space="0" w:color="auto"/>
                <w:bottom w:val="none" w:sz="0" w:space="0" w:color="auto"/>
                <w:right w:val="none" w:sz="0" w:space="0" w:color="auto"/>
              </w:divBdr>
              <w:divsChild>
                <w:div w:id="560219193">
                  <w:marLeft w:val="0"/>
                  <w:marRight w:val="0"/>
                  <w:marTop w:val="0"/>
                  <w:marBottom w:val="0"/>
                  <w:divBdr>
                    <w:top w:val="none" w:sz="0" w:space="0" w:color="auto"/>
                    <w:left w:val="none" w:sz="0" w:space="0" w:color="auto"/>
                    <w:bottom w:val="none" w:sz="0" w:space="0" w:color="auto"/>
                    <w:right w:val="none" w:sz="0" w:space="0" w:color="auto"/>
                  </w:divBdr>
                  <w:divsChild>
                    <w:div w:id="19207435">
                      <w:marLeft w:val="0"/>
                      <w:marRight w:val="0"/>
                      <w:marTop w:val="0"/>
                      <w:marBottom w:val="0"/>
                      <w:divBdr>
                        <w:top w:val="none" w:sz="0" w:space="0" w:color="auto"/>
                        <w:left w:val="none" w:sz="0" w:space="0" w:color="auto"/>
                        <w:bottom w:val="none" w:sz="0" w:space="0" w:color="auto"/>
                        <w:right w:val="none" w:sz="0" w:space="0" w:color="auto"/>
                      </w:divBdr>
                      <w:divsChild>
                        <w:div w:id="615602793">
                          <w:marLeft w:val="0"/>
                          <w:marRight w:val="0"/>
                          <w:marTop w:val="0"/>
                          <w:marBottom w:val="0"/>
                          <w:divBdr>
                            <w:top w:val="none" w:sz="0" w:space="0" w:color="auto"/>
                            <w:left w:val="none" w:sz="0" w:space="0" w:color="auto"/>
                            <w:bottom w:val="none" w:sz="0" w:space="0" w:color="auto"/>
                            <w:right w:val="none" w:sz="0" w:space="0" w:color="auto"/>
                          </w:divBdr>
                        </w:div>
                      </w:divsChild>
                    </w:div>
                    <w:div w:id="63993595">
                      <w:marLeft w:val="0"/>
                      <w:marRight w:val="0"/>
                      <w:marTop w:val="0"/>
                      <w:marBottom w:val="0"/>
                      <w:divBdr>
                        <w:top w:val="none" w:sz="0" w:space="0" w:color="auto"/>
                        <w:left w:val="none" w:sz="0" w:space="0" w:color="auto"/>
                        <w:bottom w:val="none" w:sz="0" w:space="0" w:color="auto"/>
                        <w:right w:val="none" w:sz="0" w:space="0" w:color="auto"/>
                      </w:divBdr>
                      <w:divsChild>
                        <w:div w:id="14676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8599">
      <w:bodyDiv w:val="1"/>
      <w:marLeft w:val="0"/>
      <w:marRight w:val="0"/>
      <w:marTop w:val="0"/>
      <w:marBottom w:val="0"/>
      <w:divBdr>
        <w:top w:val="none" w:sz="0" w:space="0" w:color="auto"/>
        <w:left w:val="none" w:sz="0" w:space="0" w:color="auto"/>
        <w:bottom w:val="none" w:sz="0" w:space="0" w:color="auto"/>
        <w:right w:val="none" w:sz="0" w:space="0" w:color="auto"/>
      </w:divBdr>
    </w:div>
    <w:div w:id="823275481">
      <w:bodyDiv w:val="1"/>
      <w:marLeft w:val="0"/>
      <w:marRight w:val="0"/>
      <w:marTop w:val="0"/>
      <w:marBottom w:val="0"/>
      <w:divBdr>
        <w:top w:val="none" w:sz="0" w:space="0" w:color="auto"/>
        <w:left w:val="none" w:sz="0" w:space="0" w:color="auto"/>
        <w:bottom w:val="none" w:sz="0" w:space="0" w:color="auto"/>
        <w:right w:val="none" w:sz="0" w:space="0" w:color="auto"/>
      </w:divBdr>
    </w:div>
    <w:div w:id="833374496">
      <w:bodyDiv w:val="1"/>
      <w:marLeft w:val="0"/>
      <w:marRight w:val="0"/>
      <w:marTop w:val="0"/>
      <w:marBottom w:val="0"/>
      <w:divBdr>
        <w:top w:val="none" w:sz="0" w:space="0" w:color="auto"/>
        <w:left w:val="none" w:sz="0" w:space="0" w:color="auto"/>
        <w:bottom w:val="none" w:sz="0" w:space="0" w:color="auto"/>
        <w:right w:val="none" w:sz="0" w:space="0" w:color="auto"/>
      </w:divBdr>
      <w:divsChild>
        <w:div w:id="560098618">
          <w:marLeft w:val="0"/>
          <w:marRight w:val="0"/>
          <w:marTop w:val="0"/>
          <w:marBottom w:val="0"/>
          <w:divBdr>
            <w:top w:val="none" w:sz="0" w:space="0" w:color="auto"/>
            <w:left w:val="none" w:sz="0" w:space="0" w:color="auto"/>
            <w:bottom w:val="none" w:sz="0" w:space="0" w:color="auto"/>
            <w:right w:val="none" w:sz="0" w:space="0" w:color="auto"/>
          </w:divBdr>
          <w:divsChild>
            <w:div w:id="103162299">
              <w:marLeft w:val="0"/>
              <w:marRight w:val="0"/>
              <w:marTop w:val="0"/>
              <w:marBottom w:val="0"/>
              <w:divBdr>
                <w:top w:val="none" w:sz="0" w:space="0" w:color="auto"/>
                <w:left w:val="none" w:sz="0" w:space="0" w:color="auto"/>
                <w:bottom w:val="none" w:sz="0" w:space="0" w:color="auto"/>
                <w:right w:val="none" w:sz="0" w:space="0" w:color="auto"/>
              </w:divBdr>
              <w:divsChild>
                <w:div w:id="1929002565">
                  <w:marLeft w:val="0"/>
                  <w:marRight w:val="0"/>
                  <w:marTop w:val="0"/>
                  <w:marBottom w:val="0"/>
                  <w:divBdr>
                    <w:top w:val="none" w:sz="0" w:space="0" w:color="auto"/>
                    <w:left w:val="none" w:sz="0" w:space="0" w:color="auto"/>
                    <w:bottom w:val="none" w:sz="0" w:space="0" w:color="auto"/>
                    <w:right w:val="none" w:sz="0" w:space="0" w:color="auto"/>
                  </w:divBdr>
                  <w:divsChild>
                    <w:div w:id="10584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4558">
      <w:bodyDiv w:val="1"/>
      <w:marLeft w:val="0"/>
      <w:marRight w:val="0"/>
      <w:marTop w:val="0"/>
      <w:marBottom w:val="0"/>
      <w:divBdr>
        <w:top w:val="none" w:sz="0" w:space="0" w:color="auto"/>
        <w:left w:val="none" w:sz="0" w:space="0" w:color="auto"/>
        <w:bottom w:val="none" w:sz="0" w:space="0" w:color="auto"/>
        <w:right w:val="none" w:sz="0" w:space="0" w:color="auto"/>
      </w:divBdr>
    </w:div>
    <w:div w:id="1026368710">
      <w:bodyDiv w:val="1"/>
      <w:marLeft w:val="0"/>
      <w:marRight w:val="0"/>
      <w:marTop w:val="0"/>
      <w:marBottom w:val="0"/>
      <w:divBdr>
        <w:top w:val="none" w:sz="0" w:space="0" w:color="auto"/>
        <w:left w:val="none" w:sz="0" w:space="0" w:color="auto"/>
        <w:bottom w:val="none" w:sz="0" w:space="0" w:color="auto"/>
        <w:right w:val="none" w:sz="0" w:space="0" w:color="auto"/>
      </w:divBdr>
    </w:div>
    <w:div w:id="1258368085">
      <w:bodyDiv w:val="1"/>
      <w:marLeft w:val="0"/>
      <w:marRight w:val="0"/>
      <w:marTop w:val="0"/>
      <w:marBottom w:val="0"/>
      <w:divBdr>
        <w:top w:val="none" w:sz="0" w:space="0" w:color="auto"/>
        <w:left w:val="none" w:sz="0" w:space="0" w:color="auto"/>
        <w:bottom w:val="none" w:sz="0" w:space="0" w:color="auto"/>
        <w:right w:val="none" w:sz="0" w:space="0" w:color="auto"/>
      </w:divBdr>
    </w:div>
    <w:div w:id="1396128848">
      <w:bodyDiv w:val="1"/>
      <w:marLeft w:val="0"/>
      <w:marRight w:val="0"/>
      <w:marTop w:val="0"/>
      <w:marBottom w:val="0"/>
      <w:divBdr>
        <w:top w:val="none" w:sz="0" w:space="0" w:color="auto"/>
        <w:left w:val="none" w:sz="0" w:space="0" w:color="auto"/>
        <w:bottom w:val="none" w:sz="0" w:space="0" w:color="auto"/>
        <w:right w:val="none" w:sz="0" w:space="0" w:color="auto"/>
      </w:divBdr>
    </w:div>
    <w:div w:id="1456674875">
      <w:bodyDiv w:val="1"/>
      <w:marLeft w:val="0"/>
      <w:marRight w:val="0"/>
      <w:marTop w:val="0"/>
      <w:marBottom w:val="0"/>
      <w:divBdr>
        <w:top w:val="none" w:sz="0" w:space="0" w:color="auto"/>
        <w:left w:val="none" w:sz="0" w:space="0" w:color="auto"/>
        <w:bottom w:val="none" w:sz="0" w:space="0" w:color="auto"/>
        <w:right w:val="none" w:sz="0" w:space="0" w:color="auto"/>
      </w:divBdr>
    </w:div>
    <w:div w:id="1493987203">
      <w:bodyDiv w:val="1"/>
      <w:marLeft w:val="0"/>
      <w:marRight w:val="0"/>
      <w:marTop w:val="0"/>
      <w:marBottom w:val="0"/>
      <w:divBdr>
        <w:top w:val="none" w:sz="0" w:space="0" w:color="auto"/>
        <w:left w:val="none" w:sz="0" w:space="0" w:color="auto"/>
        <w:bottom w:val="none" w:sz="0" w:space="0" w:color="auto"/>
        <w:right w:val="none" w:sz="0" w:space="0" w:color="auto"/>
      </w:divBdr>
    </w:div>
    <w:div w:id="1742869849">
      <w:bodyDiv w:val="1"/>
      <w:marLeft w:val="0"/>
      <w:marRight w:val="0"/>
      <w:marTop w:val="0"/>
      <w:marBottom w:val="0"/>
      <w:divBdr>
        <w:top w:val="none" w:sz="0" w:space="0" w:color="auto"/>
        <w:left w:val="none" w:sz="0" w:space="0" w:color="auto"/>
        <w:bottom w:val="none" w:sz="0" w:space="0" w:color="auto"/>
        <w:right w:val="none" w:sz="0" w:space="0" w:color="auto"/>
      </w:divBdr>
      <w:divsChild>
        <w:div w:id="1087575539">
          <w:marLeft w:val="0"/>
          <w:marRight w:val="0"/>
          <w:marTop w:val="0"/>
          <w:marBottom w:val="0"/>
          <w:divBdr>
            <w:top w:val="none" w:sz="0" w:space="0" w:color="auto"/>
            <w:left w:val="none" w:sz="0" w:space="0" w:color="auto"/>
            <w:bottom w:val="none" w:sz="0" w:space="0" w:color="auto"/>
            <w:right w:val="none" w:sz="0" w:space="0" w:color="auto"/>
          </w:divBdr>
          <w:divsChild>
            <w:div w:id="1683242447">
              <w:marLeft w:val="0"/>
              <w:marRight w:val="0"/>
              <w:marTop w:val="0"/>
              <w:marBottom w:val="0"/>
              <w:divBdr>
                <w:top w:val="none" w:sz="0" w:space="0" w:color="auto"/>
                <w:left w:val="none" w:sz="0" w:space="0" w:color="auto"/>
                <w:bottom w:val="none" w:sz="0" w:space="0" w:color="auto"/>
                <w:right w:val="none" w:sz="0" w:space="0" w:color="auto"/>
              </w:divBdr>
              <w:divsChild>
                <w:div w:id="5050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7944536">
      <w:bodyDiv w:val="1"/>
      <w:marLeft w:val="0"/>
      <w:marRight w:val="0"/>
      <w:marTop w:val="0"/>
      <w:marBottom w:val="0"/>
      <w:divBdr>
        <w:top w:val="none" w:sz="0" w:space="0" w:color="auto"/>
        <w:left w:val="none" w:sz="0" w:space="0" w:color="auto"/>
        <w:bottom w:val="none" w:sz="0" w:space="0" w:color="auto"/>
        <w:right w:val="none" w:sz="0" w:space="0" w:color="auto"/>
      </w:divBdr>
    </w:div>
    <w:div w:id="1838570056">
      <w:bodyDiv w:val="1"/>
      <w:marLeft w:val="0"/>
      <w:marRight w:val="0"/>
      <w:marTop w:val="0"/>
      <w:marBottom w:val="0"/>
      <w:divBdr>
        <w:top w:val="none" w:sz="0" w:space="0" w:color="auto"/>
        <w:left w:val="none" w:sz="0" w:space="0" w:color="auto"/>
        <w:bottom w:val="none" w:sz="0" w:space="0" w:color="auto"/>
        <w:right w:val="none" w:sz="0" w:space="0" w:color="auto"/>
      </w:divBdr>
    </w:div>
    <w:div w:id="1948999577">
      <w:bodyDiv w:val="1"/>
      <w:marLeft w:val="0"/>
      <w:marRight w:val="0"/>
      <w:marTop w:val="0"/>
      <w:marBottom w:val="0"/>
      <w:divBdr>
        <w:top w:val="none" w:sz="0" w:space="0" w:color="auto"/>
        <w:left w:val="none" w:sz="0" w:space="0" w:color="auto"/>
        <w:bottom w:val="none" w:sz="0" w:space="0" w:color="auto"/>
        <w:right w:val="none" w:sz="0" w:space="0" w:color="auto"/>
      </w:divBdr>
    </w:div>
    <w:div w:id="19884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E66191-9CB8-473C-9B22-42BD6B6BB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4D8FDA-BA14-4087-9F1D-93B6C9441C9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1FF46819-3CA4-4936-B5EB-3738956648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2281</Words>
  <Characters>13003</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Pastore</cp:lastModifiedBy>
  <cp:revision>35</cp:revision>
  <dcterms:created xsi:type="dcterms:W3CDTF">2025-06-26T08:27:00Z</dcterms:created>
  <dcterms:modified xsi:type="dcterms:W3CDTF">2025-07-02T08:42:00Z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