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B589" w14:textId="450D53C7" w:rsidR="00962555" w:rsidRDefault="00962555" w:rsidP="00D023AA">
      <w:pPr>
        <w:pStyle w:val="Titolo1"/>
      </w:pPr>
      <w:r>
        <w:t>La dichiarazione dei beni all’estero</w:t>
      </w:r>
    </w:p>
    <w:p w14:paraId="7A82A685" w14:textId="7F62047D" w:rsidR="000E6FB7" w:rsidRPr="000E6FB7" w:rsidRDefault="000E6FB7" w:rsidP="000E6FB7">
      <w:pPr>
        <w:jc w:val="both"/>
        <w:rPr>
          <w:i/>
          <w:iCs/>
        </w:rPr>
      </w:pPr>
      <w:r w:rsidRPr="000E6FB7">
        <w:rPr>
          <w:i/>
          <w:iCs/>
        </w:rPr>
        <w:t>L’adempimento agli obblighi di monitoraggio fiscale e la corretta dichiarazione dei redditi di fonte estera richiedono sempre maggiore precisione e consapevolezza da parte del contribuente. Dopo aver affrontato nel precedente articolo gli aspetti legati al possesso di beni esteri e alla relativa tassazione con il tool RW_24_2025, ci concentriamo ora sulla compilazione dei quadri dichiarativi della dichiarazione dei redditi, soffermandoci in particolare su RW, RT, RM e RL</w:t>
      </w:r>
      <w:r w:rsidR="009035C4">
        <w:rPr>
          <w:i/>
          <w:iCs/>
        </w:rPr>
        <w:t xml:space="preserve">. Il tema cruciale per risparmiare tempo </w:t>
      </w:r>
      <w:r w:rsidR="003C15E5">
        <w:rPr>
          <w:i/>
          <w:iCs/>
        </w:rPr>
        <w:t xml:space="preserve">di compilazione e riduzione degli errori è l’eliminazione delle ridondanze e vedremo come esista un filo rosso </w:t>
      </w:r>
      <w:r w:rsidR="00D3105C">
        <w:rPr>
          <w:i/>
          <w:iCs/>
        </w:rPr>
        <w:t>che lega tutti gli aspetti dichiarativi</w:t>
      </w:r>
      <w:r w:rsidR="008F3A85">
        <w:rPr>
          <w:i/>
          <w:iCs/>
        </w:rPr>
        <w:t>, filo</w:t>
      </w:r>
      <w:r w:rsidR="00D3105C">
        <w:rPr>
          <w:i/>
          <w:iCs/>
        </w:rPr>
        <w:t xml:space="preserve"> che parte proprio dalla compilazione del quadro RW, </w:t>
      </w:r>
      <w:r w:rsidR="00765E43">
        <w:rPr>
          <w:i/>
          <w:iCs/>
        </w:rPr>
        <w:t xml:space="preserve">riferito </w:t>
      </w:r>
      <w:r w:rsidR="00D3105C">
        <w:rPr>
          <w:i/>
          <w:iCs/>
        </w:rPr>
        <w:t>al possesso dei beni, per poi prose</w:t>
      </w:r>
      <w:r w:rsidR="00765E43">
        <w:rPr>
          <w:i/>
          <w:iCs/>
        </w:rPr>
        <w:t>guire negli aspetti e nei quadri reddituali.</w:t>
      </w:r>
    </w:p>
    <w:p w14:paraId="5C664F89" w14:textId="4A07AA96" w:rsidR="000E6FB7" w:rsidRPr="000E6FB7" w:rsidRDefault="000E6FB7" w:rsidP="00D023AA">
      <w:pPr>
        <w:pStyle w:val="Titolo2"/>
      </w:pPr>
      <w:r w:rsidRPr="000E6FB7">
        <w:t>Dai movimenti esteri al modello Redditi</w:t>
      </w:r>
    </w:p>
    <w:p w14:paraId="5C061FC5" w14:textId="3B7B1CDF" w:rsidR="000E6FB7" w:rsidRDefault="000E6FB7" w:rsidP="000E6FB7">
      <w:pPr>
        <w:jc w:val="both"/>
      </w:pPr>
      <w:r>
        <w:t>Nel precedente contributo abbiamo illustrato come, in presenza di beni e investimenti detenuti all’estero, il primo passaggio obbligato per il contribuente sia la compilazione del quadro RW. Attraverso l’uso del tool</w:t>
      </w:r>
      <w:r w:rsidR="008757BA">
        <w:t xml:space="preserve"> </w:t>
      </w:r>
      <w:r w:rsidRPr="008757BA">
        <w:rPr>
          <w:i/>
          <w:iCs/>
        </w:rPr>
        <w:t>RW_24_2025</w:t>
      </w:r>
      <w:r>
        <w:t>, abbiamo visto come sia possibile, partendo dalle informazioni contenute nei fogli “M” (movimenti) e “L” (stratificazioni LIFO), ottenere una ricostruzione puntuale del valore degli asset e dei movimenti intervenuti nell’anno, inclusi i calcoli automatici delle eventuali plusvalenze su titoli e valute.</w:t>
      </w:r>
    </w:p>
    <w:p w14:paraId="2F318912" w14:textId="77777777" w:rsidR="000E6FB7" w:rsidRDefault="000E6FB7" w:rsidP="000E6FB7">
      <w:pPr>
        <w:jc w:val="both"/>
      </w:pPr>
      <w:r>
        <w:t>Ci siamo soffermati sulla logica di determinazione del valore da indicare nel quadro RW, sulla soglia di € 15.000 per il monitoraggio e quella di € 51.645,69 per la verifica delle plusvalenze su valuta, così come sul trattamento delle criptovalute, dei conti correnti esteri e delle polizze estere. Abbiamo inoltre chiarito come l’obbligo del monitoraggio riguardi anche il semplice titolare effettivo o il delegato alla gestione.</w:t>
      </w:r>
    </w:p>
    <w:p w14:paraId="3D7EE3D4" w14:textId="77777777" w:rsidR="002B10FC" w:rsidRDefault="000E6FB7" w:rsidP="000E6FB7">
      <w:pPr>
        <w:jc w:val="both"/>
      </w:pPr>
      <w:r>
        <w:t>Con questo secondo articolo entriamo nel dettaglio delle schermate dichiarative</w:t>
      </w:r>
      <w:r w:rsidR="002B10FC">
        <w:t xml:space="preserve">. </w:t>
      </w:r>
    </w:p>
    <w:p w14:paraId="2C59D630" w14:textId="77777777" w:rsidR="000E6FB7" w:rsidRDefault="000E6FB7" w:rsidP="00D023AA">
      <w:pPr>
        <w:pStyle w:val="Titolo2"/>
      </w:pPr>
      <w:r w:rsidRPr="000E6FB7">
        <w:t>La sezione RW: tra valorizzazioni automatiche e dati integrativi</w:t>
      </w:r>
    </w:p>
    <w:p w14:paraId="14FD09A4" w14:textId="169957AD" w:rsidR="00FF6BBC" w:rsidRPr="00FF6BBC" w:rsidRDefault="00FF6BBC" w:rsidP="000E6FB7">
      <w:pPr>
        <w:jc w:val="both"/>
      </w:pPr>
      <w:r w:rsidRPr="00FF6BBC">
        <w:t>Il quadro RW è la sezione del modello Redditi destinata al monitoraggio fiscale delle attività patrimoniali e finanziarie detenute all’estero da persone fisiche, enti non commerciali e società semplici. Vi rientrano, tra l’altro, conti correnti, immobili, partecipazioni, polizze, cripto-attività e fondi esteri. La compilazione è obbligatoria anche in assenza di redditi, con lo scopo di adempiere agli obblighi di comunicazione e, se del caso, liquidare le imposte patrimoniali IVIE e IVAFE.</w:t>
      </w:r>
    </w:p>
    <w:p w14:paraId="492A3AA1" w14:textId="77777777" w:rsidR="00193D93" w:rsidRDefault="000E6FB7" w:rsidP="00193D93">
      <w:pPr>
        <w:keepNext/>
        <w:jc w:val="both"/>
      </w:pPr>
      <w:r w:rsidRPr="000E6FB7">
        <w:rPr>
          <w:noProof/>
        </w:rPr>
        <w:lastRenderedPageBreak/>
        <w:drawing>
          <wp:inline distT="0" distB="0" distL="0" distR="0" wp14:anchorId="26081CF6" wp14:editId="59956818">
            <wp:extent cx="6120130" cy="2127250"/>
            <wp:effectExtent l="0" t="0" r="0" b="6350"/>
            <wp:docPr id="699186832" name="Immagine 2"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86832" name="Immagine 2" descr="Immagine che contiene testo, schermata, linea, Carattere&#10;&#10;Il contenuto generato dall'IA potrebbe non essere corre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2127250"/>
                    </a:xfrm>
                    <a:prstGeom prst="rect">
                      <a:avLst/>
                    </a:prstGeom>
                    <a:noFill/>
                    <a:ln>
                      <a:noFill/>
                    </a:ln>
                  </pic:spPr>
                </pic:pic>
              </a:graphicData>
            </a:graphic>
          </wp:inline>
        </w:drawing>
      </w:r>
    </w:p>
    <w:p w14:paraId="204BD559" w14:textId="759D1099" w:rsidR="000E6FB7" w:rsidRPr="000E6FB7" w:rsidRDefault="00193D93" w:rsidP="00193D93">
      <w:pPr>
        <w:pStyle w:val="Didascalia"/>
        <w:jc w:val="both"/>
      </w:pPr>
      <w:r>
        <w:t xml:space="preserve">Figura </w:t>
      </w:r>
      <w:fldSimple w:instr=" SEQ Figura \* ARABIC ">
        <w:r w:rsidR="00BE2D24">
          <w:rPr>
            <w:noProof/>
          </w:rPr>
          <w:t>1</w:t>
        </w:r>
      </w:fldSimple>
      <w:r>
        <w:t>: Quadro RW</w:t>
      </w:r>
    </w:p>
    <w:p w14:paraId="67458C94" w14:textId="77777777" w:rsidR="00B02C5C" w:rsidRPr="00B02C5C" w:rsidRDefault="003C1042" w:rsidP="00B02C5C">
      <w:pPr>
        <w:jc w:val="both"/>
      </w:pPr>
      <w:r>
        <w:pict w14:anchorId="6AD0CC96">
          <v:rect id="_x0000_i1025" style="width:0;height:1.5pt" o:hralign="center" o:hrstd="t" o:hr="t" fillcolor="#a0a0a0" stroked="f"/>
        </w:pict>
      </w:r>
    </w:p>
    <w:p w14:paraId="24C7A34A" w14:textId="3AE824BD" w:rsidR="008064C7" w:rsidRDefault="006E57EA" w:rsidP="0013504F">
      <w:pPr>
        <w:jc w:val="both"/>
      </w:pPr>
      <w:r w:rsidRPr="006E57EA">
        <w:t xml:space="preserve">Può accadere che alcuni intermediari </w:t>
      </w:r>
      <w:r>
        <w:t xml:space="preserve">(specialmente se </w:t>
      </w:r>
      <w:r w:rsidRPr="006E57EA">
        <w:t>svizzeri</w:t>
      </w:r>
      <w:r>
        <w:t>)</w:t>
      </w:r>
      <w:r w:rsidRPr="006E57EA">
        <w:t xml:space="preserve"> forniscano direttamente al contribuente il quadro RW già compilato, agevolando così il processo dichiarativo e riducendo il rischio di errori. Tuttavia, non sempre questo servizio viene </w:t>
      </w:r>
      <w:proofErr w:type="gramStart"/>
      <w:r w:rsidRPr="006E57EA">
        <w:t>garantito</w:t>
      </w:r>
      <w:r w:rsidR="00F96712">
        <w:t xml:space="preserve"> </w:t>
      </w:r>
      <w:r w:rsidRPr="006E57EA">
        <w:t>:</w:t>
      </w:r>
      <w:proofErr w:type="gramEnd"/>
      <w:r w:rsidRPr="006E57EA">
        <w:t xml:space="preserve"> in caso contrario</w:t>
      </w:r>
      <w:r w:rsidR="00F96712">
        <w:t xml:space="preserve"> o nel caso si voglia controllare la correttezza di quanto inviato,</w:t>
      </w:r>
      <w:r w:rsidRPr="006E57EA">
        <w:t xml:space="preserve"> è responsabilità del contribuente procedere in autonomia alla raccolta dei dati necessari e alla corretta compilazione del quadro, assicurandosi che tutte le informazioni richieste siano presenti e conformi alle normative vigenti</w:t>
      </w:r>
      <w:r w:rsidR="0013504F">
        <w:t xml:space="preserve">. Si ricorda inoltre </w:t>
      </w:r>
      <w:r w:rsidR="008064C7" w:rsidRPr="008064C7">
        <w:t>che la semplice compilazione del quadro RW non è sufficiente: il contribuente deve anche essere in grado di esibire, in caso di richiesta da parte dell’Amministrazione finanziaria, un prospetto dettagliato che illustri la movimentazione dei titoli nel periodo d’imposta. Tale documentazione, che include estratti conto e schede di movimentazione, costituisce prova essenziale della correttezza delle informazioni dichiarate e rappresenta un elemento imprescindibile in sede di controllo fiscale.</w:t>
      </w:r>
    </w:p>
    <w:p w14:paraId="51DD3505" w14:textId="2D3D8326" w:rsidR="00E41805" w:rsidRDefault="005A7A88" w:rsidP="005A7A88">
      <w:pPr>
        <w:jc w:val="both"/>
      </w:pPr>
      <w:r w:rsidRPr="005A7A88">
        <w:t xml:space="preserve">La compilazione del quadro RW nel modello Redditi </w:t>
      </w:r>
      <w:r w:rsidR="00531540">
        <w:t>è quindi</w:t>
      </w:r>
      <w:r w:rsidRPr="005A7A88">
        <w:t xml:space="preserve">, per il contribuente residente in Italia che detiene beni o attività finanziarie all’estero, il punto di arrivo di un processo articolato. </w:t>
      </w:r>
    </w:p>
    <w:p w14:paraId="14C2BD96" w14:textId="09C752A4" w:rsidR="00531540" w:rsidRDefault="005A7A88" w:rsidP="005A7A88">
      <w:pPr>
        <w:jc w:val="both"/>
      </w:pPr>
      <w:r w:rsidRPr="005A7A88">
        <w:t>Tale processo inizia dalla corretta registrazione o importazione degli estratti conto e della documentazione fornita dagli intermediari esteri, che devono riportare in modo chiaro e coerente le informazioni necessarie alla valorizzazione e alla corretta classificazione delle attività.</w:t>
      </w:r>
      <w:r w:rsidR="005C4770">
        <w:t xml:space="preserve"> </w:t>
      </w:r>
    </w:p>
    <w:p w14:paraId="3EBA097D" w14:textId="77777777" w:rsidR="00531540" w:rsidRDefault="00531540">
      <w:r>
        <w:br w:type="page"/>
      </w:r>
    </w:p>
    <w:p w14:paraId="0DEFE189" w14:textId="77777777" w:rsidR="005A7A88" w:rsidRPr="005A7A88" w:rsidRDefault="005A7A88" w:rsidP="005A7A88">
      <w:pPr>
        <w:jc w:val="both"/>
      </w:pPr>
      <w:r w:rsidRPr="005A7A88">
        <w:lastRenderedPageBreak/>
        <w:t>In particolare, ai fini della compilazione del quadro RW, è necessario che siano rilevati e classificati i seguenti elementi:</w:t>
      </w:r>
    </w:p>
    <w:p w14:paraId="284827DA" w14:textId="77777777" w:rsidR="00024366" w:rsidRPr="00024366" w:rsidRDefault="005A7A88" w:rsidP="005A7A88">
      <w:pPr>
        <w:numPr>
          <w:ilvl w:val="0"/>
          <w:numId w:val="30"/>
        </w:numPr>
        <w:jc w:val="both"/>
      </w:pPr>
      <w:r w:rsidRPr="005A7A88">
        <w:rPr>
          <w:b/>
          <w:bCs/>
        </w:rPr>
        <w:t>Codice titolo posseduto (colonna "Codice titolo posseduto")</w:t>
      </w:r>
    </w:p>
    <w:p w14:paraId="46AC0788" w14:textId="22488615" w:rsidR="005A7A88" w:rsidRDefault="005A7A88" w:rsidP="00024366">
      <w:pPr>
        <w:ind w:left="720"/>
        <w:jc w:val="both"/>
      </w:pPr>
      <w:r w:rsidRPr="005A7A88">
        <w:t xml:space="preserve">Identifica la natura del diritto esercitato sul bene o sull’attività estera. </w:t>
      </w:r>
    </w:p>
    <w:tbl>
      <w:tblPr>
        <w:tblStyle w:val="Tabellasemplice5"/>
        <w:tblW w:w="5352" w:type="dxa"/>
        <w:jc w:val="center"/>
        <w:tblLook w:val="06A0" w:firstRow="1" w:lastRow="0" w:firstColumn="1" w:lastColumn="0" w:noHBand="1" w:noVBand="1"/>
      </w:tblPr>
      <w:tblGrid>
        <w:gridCol w:w="4376"/>
        <w:gridCol w:w="976"/>
      </w:tblGrid>
      <w:tr w:rsidR="00D346BF" w:rsidRPr="00B93A98" w14:paraId="40A7D2B9" w14:textId="77777777" w:rsidTr="001B3B7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4376" w:type="dxa"/>
            <w:noWrap/>
            <w:hideMark/>
          </w:tcPr>
          <w:p w14:paraId="3FCA31C8" w14:textId="77777777" w:rsidR="00D346BF" w:rsidRPr="00B93A98" w:rsidRDefault="00D346BF" w:rsidP="001B3B72">
            <w:pPr>
              <w:rPr>
                <w:rFonts w:ascii="Calibri" w:eastAsia="Times New Roman" w:hAnsi="Calibri" w:cs="Calibri"/>
                <w:b/>
                <w:bCs/>
                <w:color w:val="000000"/>
                <w:kern w:val="0"/>
                <w:sz w:val="22"/>
                <w:szCs w:val="22"/>
                <w:lang w:eastAsia="it-IT"/>
                <w14:ligatures w14:val="none"/>
              </w:rPr>
            </w:pPr>
            <w:r w:rsidRPr="00B93A98">
              <w:rPr>
                <w:rFonts w:ascii="Calibri" w:eastAsia="Times New Roman" w:hAnsi="Calibri" w:cs="Calibri"/>
                <w:b/>
                <w:bCs/>
                <w:color w:val="000000"/>
                <w:kern w:val="0"/>
                <w:sz w:val="22"/>
                <w:szCs w:val="22"/>
                <w:lang w:eastAsia="it-IT"/>
                <w14:ligatures w14:val="none"/>
              </w:rPr>
              <w:t>Codice titolo posseduto</w:t>
            </w:r>
          </w:p>
        </w:tc>
        <w:tc>
          <w:tcPr>
            <w:tcW w:w="976" w:type="dxa"/>
            <w:noWrap/>
            <w:hideMark/>
          </w:tcPr>
          <w:p w14:paraId="4AE4A557" w14:textId="77777777" w:rsidR="00D346BF" w:rsidRPr="00B93A98" w:rsidRDefault="00D346BF" w:rsidP="001B3B72">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sz w:val="22"/>
                <w:szCs w:val="22"/>
                <w:lang w:eastAsia="it-IT"/>
                <w14:ligatures w14:val="none"/>
              </w:rPr>
            </w:pPr>
            <w:r w:rsidRPr="00B93A98">
              <w:rPr>
                <w:rFonts w:ascii="Calibri" w:eastAsia="Times New Roman" w:hAnsi="Calibri" w:cs="Calibri"/>
                <w:b/>
                <w:bCs/>
                <w:color w:val="000000"/>
                <w:kern w:val="0"/>
                <w:sz w:val="22"/>
                <w:szCs w:val="22"/>
                <w:lang w:eastAsia="it-IT"/>
                <w14:ligatures w14:val="none"/>
              </w:rPr>
              <w:t>RWCO1</w:t>
            </w:r>
          </w:p>
        </w:tc>
      </w:tr>
      <w:tr w:rsidR="00D346BF" w:rsidRPr="00B93A98" w14:paraId="5D883D2A" w14:textId="77777777" w:rsidTr="001B3B72">
        <w:trPr>
          <w:trHeight w:val="300"/>
          <w:jc w:val="center"/>
        </w:trPr>
        <w:tc>
          <w:tcPr>
            <w:cnfStyle w:val="001000000000" w:firstRow="0" w:lastRow="0" w:firstColumn="1" w:lastColumn="0" w:oddVBand="0" w:evenVBand="0" w:oddHBand="0" w:evenHBand="0" w:firstRowFirstColumn="0" w:firstRowLastColumn="0" w:lastRowFirstColumn="0" w:lastRowLastColumn="0"/>
            <w:tcW w:w="4376" w:type="dxa"/>
            <w:noWrap/>
            <w:hideMark/>
          </w:tcPr>
          <w:p w14:paraId="014BCE11" w14:textId="77777777" w:rsidR="00D346BF" w:rsidRPr="00B93A98" w:rsidRDefault="00D346BF" w:rsidP="001B3B72">
            <w:pPr>
              <w:ind w:left="461"/>
              <w:rPr>
                <w:rFonts w:ascii="Calibri" w:eastAsia="Times New Roman" w:hAnsi="Calibri" w:cs="Calibri"/>
                <w:color w:val="000000"/>
                <w:kern w:val="0"/>
                <w:sz w:val="22"/>
                <w:szCs w:val="22"/>
                <w:lang w:eastAsia="it-IT"/>
                <w14:ligatures w14:val="none"/>
              </w:rPr>
            </w:pPr>
            <w:r w:rsidRPr="00B93A98">
              <w:rPr>
                <w:rFonts w:ascii="Calibri" w:eastAsia="Times New Roman" w:hAnsi="Calibri" w:cs="Calibri"/>
                <w:color w:val="000000"/>
                <w:kern w:val="0"/>
                <w:sz w:val="22"/>
                <w:szCs w:val="22"/>
                <w:lang w:eastAsia="it-IT"/>
                <w14:ligatures w14:val="none"/>
              </w:rPr>
              <w:t>Proprietà</w:t>
            </w:r>
          </w:p>
        </w:tc>
        <w:tc>
          <w:tcPr>
            <w:tcW w:w="976" w:type="dxa"/>
            <w:noWrap/>
            <w:hideMark/>
          </w:tcPr>
          <w:p w14:paraId="542D00E5" w14:textId="77777777" w:rsidR="00D346BF" w:rsidRPr="00B93A98" w:rsidRDefault="00D346BF" w:rsidP="001B3B7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it-IT"/>
                <w14:ligatures w14:val="none"/>
              </w:rPr>
            </w:pPr>
            <w:r w:rsidRPr="00B93A98">
              <w:rPr>
                <w:rFonts w:ascii="Calibri" w:eastAsia="Times New Roman" w:hAnsi="Calibri" w:cs="Calibri"/>
                <w:color w:val="000000"/>
                <w:kern w:val="0"/>
                <w:sz w:val="22"/>
                <w:szCs w:val="22"/>
                <w:lang w:eastAsia="it-IT"/>
                <w14:ligatures w14:val="none"/>
              </w:rPr>
              <w:t>1</w:t>
            </w:r>
          </w:p>
        </w:tc>
      </w:tr>
      <w:tr w:rsidR="00D346BF" w:rsidRPr="00B93A98" w14:paraId="69456D18" w14:textId="77777777" w:rsidTr="001B3B72">
        <w:trPr>
          <w:trHeight w:val="300"/>
          <w:jc w:val="center"/>
        </w:trPr>
        <w:tc>
          <w:tcPr>
            <w:cnfStyle w:val="001000000000" w:firstRow="0" w:lastRow="0" w:firstColumn="1" w:lastColumn="0" w:oddVBand="0" w:evenVBand="0" w:oddHBand="0" w:evenHBand="0" w:firstRowFirstColumn="0" w:firstRowLastColumn="0" w:lastRowFirstColumn="0" w:lastRowLastColumn="0"/>
            <w:tcW w:w="4376" w:type="dxa"/>
            <w:noWrap/>
            <w:hideMark/>
          </w:tcPr>
          <w:p w14:paraId="4E9F4FBF" w14:textId="77777777" w:rsidR="00D346BF" w:rsidRPr="00B93A98" w:rsidRDefault="00D346BF" w:rsidP="001B3B72">
            <w:pPr>
              <w:rPr>
                <w:rFonts w:ascii="Calibri" w:eastAsia="Times New Roman" w:hAnsi="Calibri" w:cs="Calibri"/>
                <w:color w:val="000000"/>
                <w:kern w:val="0"/>
                <w:sz w:val="22"/>
                <w:szCs w:val="22"/>
                <w:lang w:eastAsia="it-IT"/>
                <w14:ligatures w14:val="none"/>
              </w:rPr>
            </w:pPr>
            <w:r w:rsidRPr="00B93A98">
              <w:rPr>
                <w:rFonts w:ascii="Calibri" w:eastAsia="Times New Roman" w:hAnsi="Calibri" w:cs="Calibri"/>
                <w:color w:val="000000"/>
                <w:kern w:val="0"/>
                <w:sz w:val="22"/>
                <w:szCs w:val="22"/>
                <w:lang w:eastAsia="it-IT"/>
                <w14:ligatures w14:val="none"/>
              </w:rPr>
              <w:t>Usufrutto</w:t>
            </w:r>
          </w:p>
        </w:tc>
        <w:tc>
          <w:tcPr>
            <w:tcW w:w="976" w:type="dxa"/>
            <w:noWrap/>
            <w:hideMark/>
          </w:tcPr>
          <w:p w14:paraId="50C323E8" w14:textId="77777777" w:rsidR="00D346BF" w:rsidRPr="00B93A98" w:rsidRDefault="00D346BF" w:rsidP="001B3B7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it-IT"/>
                <w14:ligatures w14:val="none"/>
              </w:rPr>
            </w:pPr>
            <w:r w:rsidRPr="00B93A98">
              <w:rPr>
                <w:rFonts w:ascii="Calibri" w:eastAsia="Times New Roman" w:hAnsi="Calibri" w:cs="Calibri"/>
                <w:color w:val="000000"/>
                <w:kern w:val="0"/>
                <w:sz w:val="22"/>
                <w:szCs w:val="22"/>
                <w:lang w:eastAsia="it-IT"/>
                <w14:ligatures w14:val="none"/>
              </w:rPr>
              <w:t>2</w:t>
            </w:r>
          </w:p>
        </w:tc>
      </w:tr>
      <w:tr w:rsidR="00D346BF" w:rsidRPr="00B93A98" w14:paraId="4AF95E17" w14:textId="77777777" w:rsidTr="001B3B72">
        <w:trPr>
          <w:trHeight w:val="300"/>
          <w:jc w:val="center"/>
        </w:trPr>
        <w:tc>
          <w:tcPr>
            <w:cnfStyle w:val="001000000000" w:firstRow="0" w:lastRow="0" w:firstColumn="1" w:lastColumn="0" w:oddVBand="0" w:evenVBand="0" w:oddHBand="0" w:evenHBand="0" w:firstRowFirstColumn="0" w:firstRowLastColumn="0" w:lastRowFirstColumn="0" w:lastRowLastColumn="0"/>
            <w:tcW w:w="4376" w:type="dxa"/>
            <w:noWrap/>
            <w:hideMark/>
          </w:tcPr>
          <w:p w14:paraId="27772E8D" w14:textId="77777777" w:rsidR="00D346BF" w:rsidRPr="00B93A98" w:rsidRDefault="00D346BF" w:rsidP="001B3B72">
            <w:pPr>
              <w:rPr>
                <w:rFonts w:ascii="Calibri" w:eastAsia="Times New Roman" w:hAnsi="Calibri" w:cs="Calibri"/>
                <w:color w:val="000000"/>
                <w:kern w:val="0"/>
                <w:sz w:val="22"/>
                <w:szCs w:val="22"/>
                <w:lang w:eastAsia="it-IT"/>
                <w14:ligatures w14:val="none"/>
              </w:rPr>
            </w:pPr>
            <w:r w:rsidRPr="00B93A98">
              <w:rPr>
                <w:rFonts w:ascii="Calibri" w:eastAsia="Times New Roman" w:hAnsi="Calibri" w:cs="Calibri"/>
                <w:color w:val="000000"/>
                <w:kern w:val="0"/>
                <w:sz w:val="22"/>
                <w:szCs w:val="22"/>
                <w:lang w:eastAsia="it-IT"/>
                <w14:ligatures w14:val="none"/>
              </w:rPr>
              <w:t>Nuda Proprietà</w:t>
            </w:r>
          </w:p>
        </w:tc>
        <w:tc>
          <w:tcPr>
            <w:tcW w:w="976" w:type="dxa"/>
            <w:noWrap/>
            <w:hideMark/>
          </w:tcPr>
          <w:p w14:paraId="2241A23A" w14:textId="77777777" w:rsidR="00D346BF" w:rsidRPr="00B93A98" w:rsidRDefault="00D346BF" w:rsidP="001B3B7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it-IT"/>
                <w14:ligatures w14:val="none"/>
              </w:rPr>
            </w:pPr>
            <w:r w:rsidRPr="00B93A98">
              <w:rPr>
                <w:rFonts w:ascii="Calibri" w:eastAsia="Times New Roman" w:hAnsi="Calibri" w:cs="Calibri"/>
                <w:color w:val="000000"/>
                <w:kern w:val="0"/>
                <w:sz w:val="22"/>
                <w:szCs w:val="22"/>
                <w:lang w:eastAsia="it-IT"/>
                <w14:ligatures w14:val="none"/>
              </w:rPr>
              <w:t>3</w:t>
            </w:r>
          </w:p>
        </w:tc>
      </w:tr>
      <w:tr w:rsidR="00D346BF" w:rsidRPr="00B93A98" w14:paraId="0FCCB9B4" w14:textId="77777777" w:rsidTr="001B3B72">
        <w:trPr>
          <w:trHeight w:val="300"/>
          <w:jc w:val="center"/>
        </w:trPr>
        <w:tc>
          <w:tcPr>
            <w:cnfStyle w:val="001000000000" w:firstRow="0" w:lastRow="0" w:firstColumn="1" w:lastColumn="0" w:oddVBand="0" w:evenVBand="0" w:oddHBand="0" w:evenHBand="0" w:firstRowFirstColumn="0" w:firstRowLastColumn="0" w:lastRowFirstColumn="0" w:lastRowLastColumn="0"/>
            <w:tcW w:w="4376" w:type="dxa"/>
            <w:noWrap/>
            <w:hideMark/>
          </w:tcPr>
          <w:p w14:paraId="5B9B7C15" w14:textId="557199B7" w:rsidR="00D346BF" w:rsidRPr="00B93A98" w:rsidRDefault="00D346BF" w:rsidP="001B3B72">
            <w:pPr>
              <w:rPr>
                <w:rFonts w:ascii="Calibri" w:eastAsia="Times New Roman" w:hAnsi="Calibri" w:cs="Calibri"/>
                <w:color w:val="000000"/>
                <w:kern w:val="0"/>
                <w:sz w:val="22"/>
                <w:szCs w:val="22"/>
                <w:lang w:eastAsia="it-IT"/>
                <w14:ligatures w14:val="none"/>
              </w:rPr>
            </w:pPr>
            <w:r w:rsidRPr="00B93A98">
              <w:rPr>
                <w:rFonts w:ascii="Calibri" w:eastAsia="Times New Roman" w:hAnsi="Calibri" w:cs="Calibri"/>
                <w:color w:val="000000"/>
                <w:kern w:val="0"/>
                <w:sz w:val="22"/>
                <w:szCs w:val="22"/>
                <w:lang w:eastAsia="it-IT"/>
                <w14:ligatures w14:val="none"/>
              </w:rPr>
              <w:t>Altro</w:t>
            </w:r>
            <w:r w:rsidR="00663D50">
              <w:rPr>
                <w:rFonts w:ascii="Calibri" w:eastAsia="Times New Roman" w:hAnsi="Calibri" w:cs="Calibri"/>
                <w:color w:val="000000"/>
                <w:kern w:val="0"/>
                <w:sz w:val="22"/>
                <w:szCs w:val="22"/>
                <w:lang w:eastAsia="it-IT"/>
                <w14:ligatures w14:val="none"/>
              </w:rPr>
              <w:t xml:space="preserve"> </w:t>
            </w:r>
            <w:r w:rsidRPr="00B93A98">
              <w:rPr>
                <w:rFonts w:ascii="Calibri" w:eastAsia="Times New Roman" w:hAnsi="Calibri" w:cs="Calibri"/>
                <w:color w:val="000000"/>
                <w:kern w:val="0"/>
                <w:sz w:val="22"/>
                <w:szCs w:val="22"/>
                <w:lang w:eastAsia="it-IT"/>
                <w14:ligatures w14:val="none"/>
              </w:rPr>
              <w:t>(Altro dritto reale, Beneficiario di Trust)</w:t>
            </w:r>
          </w:p>
        </w:tc>
        <w:tc>
          <w:tcPr>
            <w:tcW w:w="976" w:type="dxa"/>
            <w:noWrap/>
            <w:hideMark/>
          </w:tcPr>
          <w:p w14:paraId="76F428C3" w14:textId="77777777" w:rsidR="00D346BF" w:rsidRPr="00B93A98" w:rsidRDefault="00D346BF" w:rsidP="001B3B7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it-IT"/>
                <w14:ligatures w14:val="none"/>
              </w:rPr>
            </w:pPr>
            <w:r w:rsidRPr="00B93A98">
              <w:rPr>
                <w:rFonts w:ascii="Calibri" w:eastAsia="Times New Roman" w:hAnsi="Calibri" w:cs="Calibri"/>
                <w:color w:val="000000"/>
                <w:kern w:val="0"/>
                <w:sz w:val="22"/>
                <w:szCs w:val="22"/>
                <w:lang w:eastAsia="it-IT"/>
                <w14:ligatures w14:val="none"/>
              </w:rPr>
              <w:t>4</w:t>
            </w:r>
          </w:p>
        </w:tc>
      </w:tr>
      <w:tr w:rsidR="00531540" w:rsidRPr="00B93A98" w14:paraId="75CED116" w14:textId="77777777" w:rsidTr="001B3B72">
        <w:trPr>
          <w:trHeight w:val="300"/>
          <w:jc w:val="center"/>
        </w:trPr>
        <w:tc>
          <w:tcPr>
            <w:cnfStyle w:val="001000000000" w:firstRow="0" w:lastRow="0" w:firstColumn="1" w:lastColumn="0" w:oddVBand="0" w:evenVBand="0" w:oddHBand="0" w:evenHBand="0" w:firstRowFirstColumn="0" w:firstRowLastColumn="0" w:lastRowFirstColumn="0" w:lastRowLastColumn="0"/>
            <w:tcW w:w="4376" w:type="dxa"/>
            <w:noWrap/>
          </w:tcPr>
          <w:p w14:paraId="07D18E7F" w14:textId="77777777" w:rsidR="00531540" w:rsidRPr="00B93A98" w:rsidRDefault="00531540" w:rsidP="001B3B72">
            <w:pPr>
              <w:rPr>
                <w:rFonts w:ascii="Calibri" w:eastAsia="Times New Roman" w:hAnsi="Calibri" w:cs="Calibri"/>
                <w:color w:val="000000"/>
                <w:kern w:val="0"/>
                <w:sz w:val="22"/>
                <w:szCs w:val="22"/>
                <w:lang w:eastAsia="it-IT"/>
                <w14:ligatures w14:val="none"/>
              </w:rPr>
            </w:pPr>
          </w:p>
        </w:tc>
        <w:tc>
          <w:tcPr>
            <w:tcW w:w="976" w:type="dxa"/>
            <w:noWrap/>
          </w:tcPr>
          <w:p w14:paraId="0D544B06" w14:textId="77777777" w:rsidR="00531540" w:rsidRPr="00B93A98" w:rsidRDefault="00531540" w:rsidP="001B3B72">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it-IT"/>
                <w14:ligatures w14:val="none"/>
              </w:rPr>
            </w:pPr>
          </w:p>
        </w:tc>
      </w:tr>
    </w:tbl>
    <w:p w14:paraId="5E459305" w14:textId="77777777" w:rsidR="00024366" w:rsidRPr="00024366" w:rsidRDefault="005A7A88" w:rsidP="005A7A88">
      <w:pPr>
        <w:numPr>
          <w:ilvl w:val="0"/>
          <w:numId w:val="30"/>
        </w:numPr>
        <w:jc w:val="both"/>
      </w:pPr>
      <w:r w:rsidRPr="005A7A88">
        <w:rPr>
          <w:b/>
          <w:bCs/>
        </w:rPr>
        <w:t>Tipo soggetto (colonna "Tipo Soggetto")</w:t>
      </w:r>
    </w:p>
    <w:p w14:paraId="10903295" w14:textId="708A4635" w:rsidR="00B93A98" w:rsidRDefault="00A42A6E" w:rsidP="00024366">
      <w:pPr>
        <w:ind w:left="720"/>
        <w:jc w:val="both"/>
      </w:pPr>
      <w:r w:rsidRPr="00A42A6E">
        <w:t>Specifica se il contribuente è titolare effettivo dell’attività (codice "1") oppure se dispone di una delega o procura ad operare (codice "2"). Questa informazione è rilevante per determinare la sussistenza o meno dell’obbligo di monitoraggio</w:t>
      </w:r>
      <w:r>
        <w:t xml:space="preserve"> e degli obblighi relativi a IVIE e IVAFE</w:t>
      </w:r>
      <w:r w:rsidR="00C434B5">
        <w:t xml:space="preserve"> ci sono casi in cui il </w:t>
      </w:r>
      <w:r w:rsidR="00AC7DDE">
        <w:t>campo può essere lasciato vuoto.</w:t>
      </w:r>
    </w:p>
    <w:p w14:paraId="04E15A11" w14:textId="77777777" w:rsidR="00C434B5" w:rsidRPr="00024366" w:rsidRDefault="00C434B5" w:rsidP="00C434B5">
      <w:pPr>
        <w:numPr>
          <w:ilvl w:val="0"/>
          <w:numId w:val="30"/>
        </w:numPr>
        <w:jc w:val="both"/>
      </w:pPr>
      <w:r w:rsidRPr="005A7A88">
        <w:rPr>
          <w:b/>
          <w:bCs/>
        </w:rPr>
        <w:t xml:space="preserve">Codice individuazione bene (colonna "Codice </w:t>
      </w:r>
      <w:proofErr w:type="spellStart"/>
      <w:r w:rsidRPr="005A7A88">
        <w:rPr>
          <w:b/>
          <w:bCs/>
        </w:rPr>
        <w:t>individuaz</w:t>
      </w:r>
      <w:proofErr w:type="spellEnd"/>
      <w:r w:rsidRPr="005A7A88">
        <w:rPr>
          <w:b/>
          <w:bCs/>
        </w:rPr>
        <w:t>. Bene")</w:t>
      </w:r>
    </w:p>
    <w:p w14:paraId="5448F22D" w14:textId="77777777" w:rsidR="00C434B5" w:rsidRPr="005A7A88" w:rsidRDefault="00C434B5" w:rsidP="00C434B5">
      <w:pPr>
        <w:ind w:left="720"/>
        <w:jc w:val="both"/>
      </w:pPr>
      <w:r w:rsidRPr="005A7A88">
        <w:t>È il codice che identifica la tipologia dell’attività estera ai fini del monitoraggio fiscale. Tra i principali codici troviamo:</w:t>
      </w:r>
    </w:p>
    <w:tbl>
      <w:tblPr>
        <w:tblStyle w:val="Tabellasemplice5"/>
        <w:tblW w:w="0" w:type="auto"/>
        <w:tblLook w:val="06A0" w:firstRow="1" w:lastRow="0" w:firstColumn="1" w:lastColumn="0" w:noHBand="1" w:noVBand="1"/>
      </w:tblPr>
      <w:tblGrid>
        <w:gridCol w:w="8222"/>
        <w:gridCol w:w="1216"/>
      </w:tblGrid>
      <w:tr w:rsidR="00101F4D" w:rsidRPr="00101F4D" w14:paraId="280A3C69" w14:textId="77777777" w:rsidTr="0053154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8222" w:type="dxa"/>
            <w:noWrap/>
            <w:hideMark/>
          </w:tcPr>
          <w:p w14:paraId="031DEC0A" w14:textId="77777777" w:rsidR="00101F4D" w:rsidRPr="00101F4D" w:rsidRDefault="00101F4D" w:rsidP="009C6DC2">
            <w:pPr>
              <w:ind w:left="720"/>
              <w:rPr>
                <w:b/>
                <w:bCs/>
              </w:rPr>
            </w:pPr>
            <w:r w:rsidRPr="00101F4D">
              <w:rPr>
                <w:b/>
                <w:bCs/>
              </w:rPr>
              <w:t xml:space="preserve">Codice </w:t>
            </w:r>
            <w:proofErr w:type="spellStart"/>
            <w:r w:rsidRPr="00101F4D">
              <w:rPr>
                <w:b/>
                <w:bCs/>
              </w:rPr>
              <w:t>individuaz</w:t>
            </w:r>
            <w:proofErr w:type="spellEnd"/>
            <w:r w:rsidRPr="00101F4D">
              <w:rPr>
                <w:b/>
                <w:bCs/>
              </w:rPr>
              <w:t>. Bene</w:t>
            </w:r>
          </w:p>
        </w:tc>
        <w:tc>
          <w:tcPr>
            <w:tcW w:w="1216" w:type="dxa"/>
            <w:noWrap/>
            <w:hideMark/>
          </w:tcPr>
          <w:p w14:paraId="2DF4EBE3" w14:textId="77777777" w:rsidR="00101F4D" w:rsidRPr="00101F4D" w:rsidRDefault="00101F4D" w:rsidP="00101F4D">
            <w:pPr>
              <w:ind w:left="103"/>
              <w:jc w:val="both"/>
              <w:cnfStyle w:val="100000000000" w:firstRow="1" w:lastRow="0" w:firstColumn="0" w:lastColumn="0" w:oddVBand="0" w:evenVBand="0" w:oddHBand="0" w:evenHBand="0" w:firstRowFirstColumn="0" w:firstRowLastColumn="0" w:lastRowFirstColumn="0" w:lastRowLastColumn="0"/>
              <w:rPr>
                <w:b/>
                <w:bCs/>
              </w:rPr>
            </w:pPr>
            <w:r w:rsidRPr="00101F4D">
              <w:rPr>
                <w:b/>
                <w:bCs/>
              </w:rPr>
              <w:t>RWCO3</w:t>
            </w:r>
          </w:p>
        </w:tc>
      </w:tr>
      <w:tr w:rsidR="00101F4D" w:rsidRPr="00101F4D" w14:paraId="646C981F" w14:textId="77777777" w:rsidTr="00531540">
        <w:trPr>
          <w:trHeight w:val="315"/>
        </w:trPr>
        <w:tc>
          <w:tcPr>
            <w:cnfStyle w:val="001000000000" w:firstRow="0" w:lastRow="0" w:firstColumn="1" w:lastColumn="0" w:oddVBand="0" w:evenVBand="0" w:oddHBand="0" w:evenHBand="0" w:firstRowFirstColumn="0" w:firstRowLastColumn="0" w:lastRowFirstColumn="0" w:lastRowLastColumn="0"/>
            <w:tcW w:w="8222" w:type="dxa"/>
            <w:noWrap/>
            <w:hideMark/>
          </w:tcPr>
          <w:p w14:paraId="2BBC4390" w14:textId="77777777" w:rsidR="00101F4D" w:rsidRPr="00101F4D" w:rsidRDefault="00101F4D" w:rsidP="009C6DC2">
            <w:pPr>
              <w:ind w:left="720"/>
              <w:rPr>
                <w:b/>
                <w:bCs/>
              </w:rPr>
            </w:pPr>
            <w:r w:rsidRPr="00101F4D">
              <w:rPr>
                <w:b/>
                <w:bCs/>
              </w:rPr>
              <w:t>Voce</w:t>
            </w:r>
          </w:p>
        </w:tc>
        <w:tc>
          <w:tcPr>
            <w:tcW w:w="1216" w:type="dxa"/>
            <w:noWrap/>
            <w:hideMark/>
          </w:tcPr>
          <w:p w14:paraId="7078C6B9" w14:textId="77777777" w:rsidR="00101F4D" w:rsidRPr="00101F4D" w:rsidRDefault="00101F4D" w:rsidP="00101F4D">
            <w:pPr>
              <w:ind w:left="380"/>
              <w:jc w:val="both"/>
              <w:cnfStyle w:val="000000000000" w:firstRow="0" w:lastRow="0" w:firstColumn="0" w:lastColumn="0" w:oddVBand="0" w:evenVBand="0" w:oddHBand="0" w:evenHBand="0" w:firstRowFirstColumn="0" w:firstRowLastColumn="0" w:lastRowFirstColumn="0" w:lastRowLastColumn="0"/>
              <w:rPr>
                <w:b/>
                <w:bCs/>
              </w:rPr>
            </w:pPr>
            <w:r w:rsidRPr="00101F4D">
              <w:rPr>
                <w:b/>
                <w:bCs/>
              </w:rPr>
              <w:t>COD</w:t>
            </w:r>
          </w:p>
        </w:tc>
      </w:tr>
      <w:tr w:rsidR="00101F4D" w:rsidRPr="00101F4D" w14:paraId="6418092D"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3514D346" w14:textId="77777777" w:rsidR="00101F4D" w:rsidRPr="00101F4D" w:rsidRDefault="00101F4D" w:rsidP="009C6DC2">
            <w:pPr>
              <w:ind w:left="720"/>
            </w:pPr>
            <w:r w:rsidRPr="00101F4D">
              <w:t>Conti correnti e depositi esteri</w:t>
            </w:r>
          </w:p>
        </w:tc>
        <w:tc>
          <w:tcPr>
            <w:tcW w:w="1216" w:type="dxa"/>
            <w:noWrap/>
            <w:hideMark/>
          </w:tcPr>
          <w:p w14:paraId="7AFA017D"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w:t>
            </w:r>
          </w:p>
        </w:tc>
      </w:tr>
      <w:tr w:rsidR="00101F4D" w:rsidRPr="00101F4D" w14:paraId="0A253ECA"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0924EB6D" w14:textId="77777777" w:rsidR="00101F4D" w:rsidRPr="00101F4D" w:rsidRDefault="00101F4D" w:rsidP="009C6DC2">
            <w:pPr>
              <w:ind w:left="720"/>
            </w:pPr>
            <w:r w:rsidRPr="00101F4D">
              <w:t>Partecipazioni al capitale o al patrimonio di società non residenti</w:t>
            </w:r>
          </w:p>
        </w:tc>
        <w:tc>
          <w:tcPr>
            <w:tcW w:w="1216" w:type="dxa"/>
            <w:noWrap/>
            <w:hideMark/>
          </w:tcPr>
          <w:p w14:paraId="68687389"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2</w:t>
            </w:r>
          </w:p>
        </w:tc>
      </w:tr>
      <w:tr w:rsidR="00101F4D" w:rsidRPr="00101F4D" w14:paraId="2971A2AB"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51E69410" w14:textId="77777777" w:rsidR="00101F4D" w:rsidRPr="00101F4D" w:rsidRDefault="00101F4D" w:rsidP="009C6DC2">
            <w:pPr>
              <w:ind w:left="720"/>
            </w:pPr>
            <w:r w:rsidRPr="00101F4D">
              <w:t>Obbligazioni estere e titoli similari</w:t>
            </w:r>
          </w:p>
        </w:tc>
        <w:tc>
          <w:tcPr>
            <w:tcW w:w="1216" w:type="dxa"/>
            <w:noWrap/>
            <w:hideMark/>
          </w:tcPr>
          <w:p w14:paraId="15CB0AFF"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3</w:t>
            </w:r>
          </w:p>
        </w:tc>
      </w:tr>
      <w:tr w:rsidR="00101F4D" w:rsidRPr="00101F4D" w14:paraId="137CED34"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077A3F49" w14:textId="77777777" w:rsidR="00101F4D" w:rsidRPr="00101F4D" w:rsidRDefault="00101F4D" w:rsidP="009C6DC2">
            <w:pPr>
              <w:ind w:left="720"/>
            </w:pPr>
            <w:r w:rsidRPr="00101F4D">
              <w:t>Titoli non rappresentativi di merce e certificati di massa emessi da non residenti</w:t>
            </w:r>
          </w:p>
        </w:tc>
        <w:tc>
          <w:tcPr>
            <w:tcW w:w="1216" w:type="dxa"/>
            <w:noWrap/>
            <w:hideMark/>
          </w:tcPr>
          <w:p w14:paraId="77DA79BB"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4</w:t>
            </w:r>
          </w:p>
        </w:tc>
      </w:tr>
      <w:tr w:rsidR="00101F4D" w:rsidRPr="00101F4D" w14:paraId="067E9F77"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3AA49784" w14:textId="77777777" w:rsidR="00101F4D" w:rsidRPr="00101F4D" w:rsidRDefault="00101F4D" w:rsidP="009C6DC2">
            <w:pPr>
              <w:ind w:left="720"/>
            </w:pPr>
            <w:r w:rsidRPr="00101F4D">
              <w:t>Valute estere da depositi e conti correnti</w:t>
            </w:r>
          </w:p>
        </w:tc>
        <w:tc>
          <w:tcPr>
            <w:tcW w:w="1216" w:type="dxa"/>
            <w:noWrap/>
            <w:hideMark/>
          </w:tcPr>
          <w:p w14:paraId="5755828F"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5</w:t>
            </w:r>
          </w:p>
        </w:tc>
      </w:tr>
      <w:tr w:rsidR="00101F4D" w:rsidRPr="00101F4D" w14:paraId="5795A4D7"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42B840D7" w14:textId="77777777" w:rsidR="00101F4D" w:rsidRPr="00101F4D" w:rsidRDefault="00101F4D" w:rsidP="009C6DC2">
            <w:pPr>
              <w:ind w:left="720"/>
            </w:pPr>
            <w:r w:rsidRPr="00101F4D">
              <w:t xml:space="preserve">Titoli pubblici </w:t>
            </w:r>
            <w:proofErr w:type="gramStart"/>
            <w:r w:rsidRPr="00101F4D">
              <w:t>Italiani</w:t>
            </w:r>
            <w:proofErr w:type="gramEnd"/>
            <w:r w:rsidRPr="00101F4D">
              <w:t xml:space="preserve"> emessi all'estero</w:t>
            </w:r>
          </w:p>
        </w:tc>
        <w:tc>
          <w:tcPr>
            <w:tcW w:w="1216" w:type="dxa"/>
            <w:noWrap/>
            <w:hideMark/>
          </w:tcPr>
          <w:p w14:paraId="319C632E"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6</w:t>
            </w:r>
          </w:p>
        </w:tc>
      </w:tr>
      <w:tr w:rsidR="00101F4D" w:rsidRPr="00101F4D" w14:paraId="61AD1223"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22E1B0BC" w14:textId="77777777" w:rsidR="00101F4D" w:rsidRPr="00101F4D" w:rsidRDefault="00101F4D" w:rsidP="009C6DC2">
            <w:pPr>
              <w:ind w:left="720"/>
            </w:pPr>
            <w:r w:rsidRPr="00101F4D">
              <w:t>Contratti di natura finanziaria stipulati con controparti non residenti</w:t>
            </w:r>
          </w:p>
        </w:tc>
        <w:tc>
          <w:tcPr>
            <w:tcW w:w="1216" w:type="dxa"/>
            <w:noWrap/>
            <w:hideMark/>
          </w:tcPr>
          <w:p w14:paraId="4745F3F6"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7</w:t>
            </w:r>
          </w:p>
        </w:tc>
      </w:tr>
      <w:tr w:rsidR="00101F4D" w:rsidRPr="00101F4D" w14:paraId="5421F092"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479DA686" w14:textId="77777777" w:rsidR="00101F4D" w:rsidRPr="00101F4D" w:rsidRDefault="00101F4D" w:rsidP="009C6DC2">
            <w:pPr>
              <w:ind w:left="720"/>
            </w:pPr>
            <w:r w:rsidRPr="00101F4D">
              <w:t>Polizze di assicurazione sulla vita e di capitalizzazione</w:t>
            </w:r>
          </w:p>
        </w:tc>
        <w:tc>
          <w:tcPr>
            <w:tcW w:w="1216" w:type="dxa"/>
            <w:noWrap/>
            <w:hideMark/>
          </w:tcPr>
          <w:p w14:paraId="060A4C68"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8</w:t>
            </w:r>
          </w:p>
        </w:tc>
      </w:tr>
      <w:tr w:rsidR="00101F4D" w:rsidRPr="00101F4D" w14:paraId="755B9481"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3516F31F" w14:textId="77777777" w:rsidR="00101F4D" w:rsidRPr="00101F4D" w:rsidRDefault="00101F4D" w:rsidP="009C6DC2">
            <w:pPr>
              <w:ind w:left="720"/>
            </w:pPr>
            <w:r w:rsidRPr="00101F4D">
              <w:t>Contratti derivanti da altri rapporti finanziati conclusi al di fuori del territorio dello Stato</w:t>
            </w:r>
          </w:p>
        </w:tc>
        <w:tc>
          <w:tcPr>
            <w:tcW w:w="1216" w:type="dxa"/>
            <w:noWrap/>
            <w:hideMark/>
          </w:tcPr>
          <w:p w14:paraId="4C79BD2F"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9</w:t>
            </w:r>
          </w:p>
        </w:tc>
      </w:tr>
      <w:tr w:rsidR="00101F4D" w:rsidRPr="00101F4D" w14:paraId="39F522C2"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555D104C" w14:textId="77777777" w:rsidR="00101F4D" w:rsidRPr="00101F4D" w:rsidRDefault="00101F4D" w:rsidP="009C6DC2">
            <w:pPr>
              <w:ind w:left="720"/>
            </w:pPr>
            <w:r w:rsidRPr="00101F4D">
              <w:t>Metalli preziosi allo stato grezzo o monetato detenuti all'estero</w:t>
            </w:r>
          </w:p>
        </w:tc>
        <w:tc>
          <w:tcPr>
            <w:tcW w:w="1216" w:type="dxa"/>
            <w:noWrap/>
            <w:hideMark/>
          </w:tcPr>
          <w:p w14:paraId="6E472220"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10</w:t>
            </w:r>
          </w:p>
        </w:tc>
      </w:tr>
      <w:tr w:rsidR="00101F4D" w:rsidRPr="00101F4D" w14:paraId="70949435"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0C432D25" w14:textId="77777777" w:rsidR="00101F4D" w:rsidRPr="00101F4D" w:rsidRDefault="00101F4D" w:rsidP="009C6DC2">
            <w:pPr>
              <w:ind w:left="720"/>
            </w:pPr>
            <w:r w:rsidRPr="00101F4D">
              <w:t xml:space="preserve">Partecipazioni patrimonio di Trust, Fondazioni o altre entità </w:t>
            </w:r>
            <w:proofErr w:type="spellStart"/>
            <w:r w:rsidRPr="00101F4D">
              <w:t>giutidiche</w:t>
            </w:r>
            <w:proofErr w:type="spellEnd"/>
            <w:r w:rsidRPr="00101F4D">
              <w:t xml:space="preserve"> diverse dalle società</w:t>
            </w:r>
          </w:p>
        </w:tc>
        <w:tc>
          <w:tcPr>
            <w:tcW w:w="1216" w:type="dxa"/>
            <w:noWrap/>
            <w:hideMark/>
          </w:tcPr>
          <w:p w14:paraId="08278E8E"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11</w:t>
            </w:r>
          </w:p>
        </w:tc>
      </w:tr>
      <w:tr w:rsidR="00101F4D" w:rsidRPr="00101F4D" w14:paraId="751DB96D"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0F069F0E" w14:textId="77777777" w:rsidR="00101F4D" w:rsidRPr="00101F4D" w:rsidRDefault="00101F4D" w:rsidP="009C6DC2">
            <w:pPr>
              <w:ind w:left="720"/>
            </w:pPr>
            <w:r w:rsidRPr="00101F4D">
              <w:t>Forme di previdenza gestite da soggetti esteri</w:t>
            </w:r>
          </w:p>
        </w:tc>
        <w:tc>
          <w:tcPr>
            <w:tcW w:w="1216" w:type="dxa"/>
            <w:noWrap/>
            <w:hideMark/>
          </w:tcPr>
          <w:p w14:paraId="0C10A1D9"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12</w:t>
            </w:r>
          </w:p>
        </w:tc>
      </w:tr>
      <w:tr w:rsidR="00101F4D" w:rsidRPr="00101F4D" w14:paraId="2EEC992B"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105F8243" w14:textId="77777777" w:rsidR="00101F4D" w:rsidRPr="00101F4D" w:rsidRDefault="00101F4D" w:rsidP="009C6DC2">
            <w:pPr>
              <w:ind w:left="720"/>
            </w:pPr>
            <w:r w:rsidRPr="00101F4D">
              <w:t>Altri strumenti finanziari anche di natura non partecipativa</w:t>
            </w:r>
          </w:p>
        </w:tc>
        <w:tc>
          <w:tcPr>
            <w:tcW w:w="1216" w:type="dxa"/>
            <w:noWrap/>
            <w:hideMark/>
          </w:tcPr>
          <w:p w14:paraId="3B14FAF7"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13</w:t>
            </w:r>
          </w:p>
        </w:tc>
      </w:tr>
      <w:tr w:rsidR="00101F4D" w:rsidRPr="00101F4D" w14:paraId="5D2B0CD3"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45BCCC61" w14:textId="77777777" w:rsidR="00101F4D" w:rsidRPr="00101F4D" w:rsidRDefault="00101F4D" w:rsidP="009C6DC2">
            <w:pPr>
              <w:ind w:left="720"/>
            </w:pPr>
            <w:r w:rsidRPr="00101F4D">
              <w:t>Altre attività estere di natura finanziaria</w:t>
            </w:r>
          </w:p>
        </w:tc>
        <w:tc>
          <w:tcPr>
            <w:tcW w:w="1216" w:type="dxa"/>
            <w:noWrap/>
            <w:hideMark/>
          </w:tcPr>
          <w:p w14:paraId="76F98332"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14</w:t>
            </w:r>
          </w:p>
        </w:tc>
      </w:tr>
      <w:tr w:rsidR="00101F4D" w:rsidRPr="00101F4D" w14:paraId="4B7AC936"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5797D7A3" w14:textId="77777777" w:rsidR="00101F4D" w:rsidRPr="00101F4D" w:rsidRDefault="00101F4D" w:rsidP="009C6DC2">
            <w:pPr>
              <w:ind w:left="720"/>
            </w:pPr>
            <w:r w:rsidRPr="00101F4D">
              <w:t>Beni immobili</w:t>
            </w:r>
          </w:p>
        </w:tc>
        <w:tc>
          <w:tcPr>
            <w:tcW w:w="1216" w:type="dxa"/>
            <w:noWrap/>
            <w:hideMark/>
          </w:tcPr>
          <w:p w14:paraId="77387203"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15</w:t>
            </w:r>
          </w:p>
        </w:tc>
      </w:tr>
      <w:tr w:rsidR="00101F4D" w:rsidRPr="00101F4D" w14:paraId="2FA9999E"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4085FAA7" w14:textId="77777777" w:rsidR="00101F4D" w:rsidRPr="00101F4D" w:rsidRDefault="00101F4D" w:rsidP="009C6DC2">
            <w:pPr>
              <w:ind w:left="720"/>
            </w:pPr>
            <w:r w:rsidRPr="00101F4D">
              <w:t xml:space="preserve">Beni mobili </w:t>
            </w:r>
            <w:proofErr w:type="gramStart"/>
            <w:r w:rsidRPr="00101F4D">
              <w:t>registrati(</w:t>
            </w:r>
            <w:proofErr w:type="gramEnd"/>
            <w:r w:rsidRPr="00101F4D">
              <w:t>es. yacht e auto di lusso</w:t>
            </w:r>
          </w:p>
        </w:tc>
        <w:tc>
          <w:tcPr>
            <w:tcW w:w="1216" w:type="dxa"/>
            <w:noWrap/>
            <w:hideMark/>
          </w:tcPr>
          <w:p w14:paraId="6EEDB0EE"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16</w:t>
            </w:r>
          </w:p>
        </w:tc>
      </w:tr>
      <w:tr w:rsidR="00101F4D" w:rsidRPr="00101F4D" w14:paraId="778A17F8"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1876FF51" w14:textId="77777777" w:rsidR="00101F4D" w:rsidRPr="00101F4D" w:rsidRDefault="00101F4D" w:rsidP="009C6DC2">
            <w:pPr>
              <w:ind w:left="720"/>
            </w:pPr>
            <w:r w:rsidRPr="00101F4D">
              <w:t>Opere d'arte e gioielli</w:t>
            </w:r>
          </w:p>
        </w:tc>
        <w:tc>
          <w:tcPr>
            <w:tcW w:w="1216" w:type="dxa"/>
            <w:noWrap/>
            <w:hideMark/>
          </w:tcPr>
          <w:p w14:paraId="282D93C1"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17</w:t>
            </w:r>
          </w:p>
        </w:tc>
      </w:tr>
      <w:tr w:rsidR="00101F4D" w:rsidRPr="00101F4D" w14:paraId="00A8C356"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07C68287" w14:textId="77777777" w:rsidR="00101F4D" w:rsidRPr="00101F4D" w:rsidRDefault="00101F4D" w:rsidP="009C6DC2">
            <w:pPr>
              <w:ind w:left="720"/>
            </w:pPr>
            <w:r w:rsidRPr="00101F4D">
              <w:lastRenderedPageBreak/>
              <w:t>Altri beni patrimoniali</w:t>
            </w:r>
          </w:p>
        </w:tc>
        <w:tc>
          <w:tcPr>
            <w:tcW w:w="1216" w:type="dxa"/>
            <w:noWrap/>
            <w:hideMark/>
          </w:tcPr>
          <w:p w14:paraId="658A2B37"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18</w:t>
            </w:r>
          </w:p>
        </w:tc>
      </w:tr>
      <w:tr w:rsidR="00101F4D" w:rsidRPr="00101F4D" w14:paraId="562B3B07"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655A725D" w14:textId="77777777" w:rsidR="00101F4D" w:rsidRPr="00101F4D" w:rsidRDefault="00101F4D" w:rsidP="009C6DC2">
            <w:pPr>
              <w:ind w:left="720"/>
            </w:pPr>
            <w:r w:rsidRPr="00101F4D">
              <w:t>Immobile estero adibito ad abitazione principale</w:t>
            </w:r>
          </w:p>
        </w:tc>
        <w:tc>
          <w:tcPr>
            <w:tcW w:w="1216" w:type="dxa"/>
            <w:noWrap/>
            <w:hideMark/>
          </w:tcPr>
          <w:p w14:paraId="59E2357F"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19</w:t>
            </w:r>
          </w:p>
        </w:tc>
      </w:tr>
      <w:tr w:rsidR="00101F4D" w:rsidRPr="00101F4D" w14:paraId="6716CB92"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538458FA" w14:textId="77777777" w:rsidR="00101F4D" w:rsidRPr="00101F4D" w:rsidRDefault="00101F4D" w:rsidP="009C6DC2">
            <w:pPr>
              <w:ind w:left="720"/>
            </w:pPr>
            <w:r w:rsidRPr="00101F4D">
              <w:t>Conto deposito titoli all’estero</w:t>
            </w:r>
          </w:p>
        </w:tc>
        <w:tc>
          <w:tcPr>
            <w:tcW w:w="1216" w:type="dxa"/>
            <w:noWrap/>
            <w:hideMark/>
          </w:tcPr>
          <w:p w14:paraId="17565C12"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20</w:t>
            </w:r>
          </w:p>
        </w:tc>
      </w:tr>
      <w:tr w:rsidR="00101F4D" w:rsidRPr="00101F4D" w14:paraId="5B5B8450"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hideMark/>
          </w:tcPr>
          <w:p w14:paraId="708C803F" w14:textId="77777777" w:rsidR="00101F4D" w:rsidRPr="00101F4D" w:rsidRDefault="00101F4D" w:rsidP="009C6DC2">
            <w:pPr>
              <w:ind w:left="720"/>
            </w:pPr>
            <w:r w:rsidRPr="00101F4D">
              <w:t>Cripto-attività (criptovalute, NFT, token, ecc.)</w:t>
            </w:r>
          </w:p>
        </w:tc>
        <w:tc>
          <w:tcPr>
            <w:tcW w:w="1216" w:type="dxa"/>
            <w:noWrap/>
            <w:hideMark/>
          </w:tcPr>
          <w:p w14:paraId="5920D36B" w14:textId="77777777" w:rsidR="00101F4D" w:rsidRPr="00101F4D" w:rsidRDefault="00101F4D" w:rsidP="00101F4D">
            <w:pPr>
              <w:ind w:left="720"/>
              <w:jc w:val="both"/>
              <w:cnfStyle w:val="000000000000" w:firstRow="0" w:lastRow="0" w:firstColumn="0" w:lastColumn="0" w:oddVBand="0" w:evenVBand="0" w:oddHBand="0" w:evenHBand="0" w:firstRowFirstColumn="0" w:firstRowLastColumn="0" w:lastRowFirstColumn="0" w:lastRowLastColumn="0"/>
            </w:pPr>
            <w:r w:rsidRPr="00101F4D">
              <w:t>21</w:t>
            </w:r>
          </w:p>
        </w:tc>
      </w:tr>
      <w:tr w:rsidR="00531540" w:rsidRPr="00101F4D" w14:paraId="3FFAE05D" w14:textId="77777777" w:rsidTr="00531540">
        <w:trPr>
          <w:trHeight w:val="300"/>
        </w:trPr>
        <w:tc>
          <w:tcPr>
            <w:cnfStyle w:val="001000000000" w:firstRow="0" w:lastRow="0" w:firstColumn="1" w:lastColumn="0" w:oddVBand="0" w:evenVBand="0" w:oddHBand="0" w:evenHBand="0" w:firstRowFirstColumn="0" w:firstRowLastColumn="0" w:lastRowFirstColumn="0" w:lastRowLastColumn="0"/>
            <w:tcW w:w="8222" w:type="dxa"/>
            <w:noWrap/>
          </w:tcPr>
          <w:p w14:paraId="3219D330" w14:textId="77777777" w:rsidR="00531540" w:rsidRPr="00101F4D" w:rsidRDefault="00531540" w:rsidP="009C6DC2">
            <w:pPr>
              <w:ind w:left="720"/>
            </w:pPr>
          </w:p>
        </w:tc>
        <w:tc>
          <w:tcPr>
            <w:tcW w:w="1216" w:type="dxa"/>
            <w:noWrap/>
          </w:tcPr>
          <w:p w14:paraId="23C7B86D" w14:textId="77777777" w:rsidR="00531540" w:rsidRPr="00101F4D" w:rsidRDefault="00531540" w:rsidP="00101F4D">
            <w:pPr>
              <w:ind w:left="720"/>
              <w:jc w:val="both"/>
              <w:cnfStyle w:val="000000000000" w:firstRow="0" w:lastRow="0" w:firstColumn="0" w:lastColumn="0" w:oddVBand="0" w:evenVBand="0" w:oddHBand="0" w:evenHBand="0" w:firstRowFirstColumn="0" w:firstRowLastColumn="0" w:lastRowFirstColumn="0" w:lastRowLastColumn="0"/>
            </w:pPr>
          </w:p>
        </w:tc>
      </w:tr>
    </w:tbl>
    <w:p w14:paraId="2D932A9E" w14:textId="3B75AF31" w:rsidR="00451F4F" w:rsidRPr="00451F4F" w:rsidRDefault="005A7A88" w:rsidP="005A7A88">
      <w:pPr>
        <w:numPr>
          <w:ilvl w:val="0"/>
          <w:numId w:val="30"/>
        </w:numPr>
        <w:jc w:val="both"/>
      </w:pPr>
      <w:r w:rsidRPr="005A7A88">
        <w:rPr>
          <w:b/>
          <w:bCs/>
        </w:rPr>
        <w:t>Codice stato estero (colonna "Codice stato estero")</w:t>
      </w:r>
    </w:p>
    <w:p w14:paraId="5295392B" w14:textId="01D6B0D1" w:rsidR="005A7A88" w:rsidRPr="005A7A88" w:rsidRDefault="005A7A88" w:rsidP="005E3E35">
      <w:pPr>
        <w:ind w:left="720"/>
        <w:jc w:val="both"/>
      </w:pPr>
      <w:r w:rsidRPr="005A7A88">
        <w:t>Si tratta del codice che individua lo Stato estero di localizzazione dell’attività, desunto dalla tabella ministeriale. È rilevante per valutare anche eventuali effetti su convenzioni contro le doppie imposizioni o su regimi black list.</w:t>
      </w:r>
    </w:p>
    <w:p w14:paraId="41BF13A4" w14:textId="77777777" w:rsidR="005A7A88" w:rsidRPr="005A7A88" w:rsidRDefault="005A7A88" w:rsidP="005A7A88">
      <w:pPr>
        <w:numPr>
          <w:ilvl w:val="0"/>
          <w:numId w:val="30"/>
        </w:numPr>
        <w:jc w:val="both"/>
      </w:pPr>
      <w:r w:rsidRPr="005A7A88">
        <w:rPr>
          <w:b/>
          <w:bCs/>
        </w:rPr>
        <w:t>Codice individuazione del criterio di valorizzazione (colonna RWCO2)</w:t>
      </w:r>
      <w:r w:rsidRPr="005A7A88">
        <w:br/>
        <w:t>Questo campo indica il criterio adottato per determinare il valore dell’attività:</w:t>
      </w:r>
    </w:p>
    <w:p w14:paraId="5A615F6E" w14:textId="77777777" w:rsidR="005A7A88" w:rsidRPr="005A7A88" w:rsidRDefault="005A7A88" w:rsidP="005A7A88">
      <w:pPr>
        <w:numPr>
          <w:ilvl w:val="1"/>
          <w:numId w:val="30"/>
        </w:numPr>
        <w:jc w:val="both"/>
      </w:pPr>
      <w:r w:rsidRPr="005A7A88">
        <w:t>"1" = valore di mercato;</w:t>
      </w:r>
    </w:p>
    <w:p w14:paraId="6496EB88" w14:textId="77777777" w:rsidR="005A7A88" w:rsidRPr="005A7A88" w:rsidRDefault="005A7A88" w:rsidP="005A7A88">
      <w:pPr>
        <w:numPr>
          <w:ilvl w:val="1"/>
          <w:numId w:val="30"/>
        </w:numPr>
        <w:jc w:val="both"/>
      </w:pPr>
      <w:r w:rsidRPr="005A7A88">
        <w:t>"2" = valore nominale;</w:t>
      </w:r>
    </w:p>
    <w:p w14:paraId="0CD6A1D1" w14:textId="77777777" w:rsidR="005A7A88" w:rsidRPr="005A7A88" w:rsidRDefault="005A7A88" w:rsidP="005A7A88">
      <w:pPr>
        <w:numPr>
          <w:ilvl w:val="1"/>
          <w:numId w:val="30"/>
        </w:numPr>
        <w:jc w:val="both"/>
      </w:pPr>
      <w:r w:rsidRPr="005A7A88">
        <w:t>"3" = valore di rimborso;</w:t>
      </w:r>
    </w:p>
    <w:p w14:paraId="210A8780" w14:textId="77777777" w:rsidR="005A7A88" w:rsidRPr="005A7A88" w:rsidRDefault="005A7A88" w:rsidP="005A7A88">
      <w:pPr>
        <w:numPr>
          <w:ilvl w:val="1"/>
          <w:numId w:val="30"/>
        </w:numPr>
        <w:jc w:val="both"/>
      </w:pPr>
      <w:r w:rsidRPr="005A7A88">
        <w:t>"4" = costo storico;</w:t>
      </w:r>
    </w:p>
    <w:p w14:paraId="2BFCF24C" w14:textId="77777777" w:rsidR="005A7A88" w:rsidRPr="005A7A88" w:rsidRDefault="005A7A88" w:rsidP="005A7A88">
      <w:pPr>
        <w:numPr>
          <w:ilvl w:val="1"/>
          <w:numId w:val="30"/>
        </w:numPr>
        <w:jc w:val="both"/>
      </w:pPr>
      <w:r w:rsidRPr="005A7A88">
        <w:t>"5" = altro criterio previsto da specifiche norme.</w:t>
      </w:r>
    </w:p>
    <w:p w14:paraId="21E81B50" w14:textId="77777777" w:rsidR="005A7A88" w:rsidRPr="005A7A88" w:rsidRDefault="005A7A88" w:rsidP="005A7A88">
      <w:pPr>
        <w:jc w:val="both"/>
      </w:pPr>
      <w:r w:rsidRPr="005A7A88">
        <w:t>La scelta del criterio deve essere coerente con la natura dell’attività e con la documentazione probatoria disponibile.</w:t>
      </w:r>
    </w:p>
    <w:p w14:paraId="606C8D66" w14:textId="4BA6B39F" w:rsidR="005A7A88" w:rsidRDefault="005A7A88" w:rsidP="005E3E35">
      <w:pPr>
        <w:numPr>
          <w:ilvl w:val="0"/>
          <w:numId w:val="30"/>
        </w:numPr>
        <w:jc w:val="both"/>
      </w:pPr>
      <w:r w:rsidRPr="005A7A88">
        <w:rPr>
          <w:b/>
          <w:bCs/>
        </w:rPr>
        <w:t>RWCO1 e RWCO3</w:t>
      </w:r>
      <w:r w:rsidR="005E3E35">
        <w:t xml:space="preserve">: </w:t>
      </w:r>
      <w:r w:rsidRPr="005A7A88">
        <w:t>Campi utilizzati per la gestione di particolari casistiche di monitoraggio, tra cui situazioni di co-intestazione, delega congiunta o multipla, o eventuali ripartizioni tra più soggetti obbligati.</w:t>
      </w:r>
    </w:p>
    <w:p w14:paraId="3F796AE1" w14:textId="703C737A" w:rsidR="005A7A88" w:rsidRDefault="005A7A88" w:rsidP="005A7A88">
      <w:pPr>
        <w:jc w:val="both"/>
      </w:pPr>
      <w:r w:rsidRPr="005A7A88">
        <w:t>La corretta rilevazione e attribuzione di questi codici è fondamentale per garantire l’accuratezza del quadro RW e, di conseguenza, per il corretto adempimento degli obblighi di monitoraggio fiscale e di eventuale liquidazione dell’IVAFE/IVIE. Errori o omissioni nella codifica possono esporre il contribuente a sanzioni anche rilevanti. È quindi necessario che la raccolta e l’elaborazione dei dati siano svolte con precisione, preferibilmente attraverso sistemi automatizzati o fogli di lavoro strutturati che consentano il controllo incrociato tra le informazioni contenute nei rendiconti esteri e quelle da riportare nella dichiarazione.</w:t>
      </w:r>
    </w:p>
    <w:p w14:paraId="4A8CDC7C" w14:textId="5755630E" w:rsidR="00FD116A" w:rsidRDefault="008757BA" w:rsidP="00FD116A">
      <w:pPr>
        <w:jc w:val="both"/>
      </w:pPr>
      <w:r>
        <w:t xml:space="preserve">Il tool </w:t>
      </w:r>
      <w:r w:rsidRPr="008757BA">
        <w:rPr>
          <w:i/>
          <w:iCs/>
        </w:rPr>
        <w:t>RW_24_2025</w:t>
      </w:r>
      <w:r>
        <w:rPr>
          <w:i/>
          <w:iCs/>
        </w:rPr>
        <w:t xml:space="preserve"> </w:t>
      </w:r>
      <w:r>
        <w:t>trascodifica direttamente</w:t>
      </w:r>
      <w:r w:rsidR="00E86C70">
        <w:t xml:space="preserve"> le voci in</w:t>
      </w:r>
      <w:r w:rsidR="00E147B4">
        <w:t>serendo le descrizioni, velocizzando l’inserimento,</w:t>
      </w:r>
      <w:r w:rsidR="008B252D">
        <w:t xml:space="preserve"> </w:t>
      </w:r>
      <w:r w:rsidR="00FD116A">
        <w:t xml:space="preserve">la compilazione manuale riguarda esclusivamente le colonne con intestazione a sfondo azzurro: </w:t>
      </w:r>
    </w:p>
    <w:p w14:paraId="18F370FE" w14:textId="77777777" w:rsidR="00FD116A" w:rsidRDefault="00FD116A" w:rsidP="00FD116A">
      <w:pPr>
        <w:keepNext/>
        <w:jc w:val="both"/>
      </w:pPr>
      <w:r w:rsidRPr="00193D93">
        <w:rPr>
          <w:noProof/>
        </w:rPr>
        <w:drawing>
          <wp:inline distT="0" distB="0" distL="0" distR="0" wp14:anchorId="688185D9" wp14:editId="2C0A67BD">
            <wp:extent cx="6120130" cy="314149"/>
            <wp:effectExtent l="0" t="0" r="0" b="0"/>
            <wp:docPr id="20116704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a:extLst>
                        <a:ext uri="{28A0092B-C50C-407E-A947-70E740481C1C}">
                          <a14:useLocalDpi xmlns:a14="http://schemas.microsoft.com/office/drawing/2010/main" val="0"/>
                        </a:ext>
                      </a:extLst>
                    </a:blip>
                    <a:srcRect b="82114"/>
                    <a:stretch>
                      <a:fillRect/>
                    </a:stretch>
                  </pic:blipFill>
                  <pic:spPr bwMode="auto">
                    <a:xfrm>
                      <a:off x="0" y="0"/>
                      <a:ext cx="6120130" cy="314149"/>
                    </a:xfrm>
                    <a:prstGeom prst="rect">
                      <a:avLst/>
                    </a:prstGeom>
                    <a:noFill/>
                    <a:ln>
                      <a:noFill/>
                    </a:ln>
                    <a:extLst>
                      <a:ext uri="{53640926-AAD7-44D8-BBD7-CCE9431645EC}">
                        <a14:shadowObscured xmlns:a14="http://schemas.microsoft.com/office/drawing/2010/main"/>
                      </a:ext>
                    </a:extLst>
                  </pic:spPr>
                </pic:pic>
              </a:graphicData>
            </a:graphic>
          </wp:inline>
        </w:drawing>
      </w:r>
    </w:p>
    <w:p w14:paraId="4E4281FC" w14:textId="4116C2CC" w:rsidR="00FD116A" w:rsidRDefault="00FD116A" w:rsidP="00FD116A">
      <w:pPr>
        <w:pStyle w:val="Didascalia"/>
        <w:jc w:val="both"/>
      </w:pPr>
      <w:r>
        <w:t xml:space="preserve">Figura </w:t>
      </w:r>
      <w:fldSimple w:instr=" SEQ Figura \* ARABIC ">
        <w:r>
          <w:rPr>
            <w:noProof/>
          </w:rPr>
          <w:t>2</w:t>
        </w:r>
      </w:fldSimple>
      <w:r>
        <w:t>: Foglio Dati-RW</w:t>
      </w:r>
      <w:r w:rsidR="007E5654">
        <w:t>: I campi da compilare</w:t>
      </w:r>
    </w:p>
    <w:p w14:paraId="28B65F4F" w14:textId="77777777" w:rsidR="007E7D48" w:rsidRDefault="007E7D48" w:rsidP="00496B92">
      <w:pPr>
        <w:jc w:val="both"/>
      </w:pPr>
    </w:p>
    <w:p w14:paraId="165CAB89" w14:textId="77777777" w:rsidR="007E7D48" w:rsidRDefault="007E7D48" w:rsidP="00496B92">
      <w:pPr>
        <w:jc w:val="both"/>
      </w:pPr>
    </w:p>
    <w:p w14:paraId="6DBCC72C" w14:textId="77777777" w:rsidR="00627AE7" w:rsidRDefault="009F5FAE" w:rsidP="000E6FB7">
      <w:pPr>
        <w:jc w:val="both"/>
      </w:pPr>
      <w:r w:rsidRPr="009F5FAE">
        <w:lastRenderedPageBreak/>
        <w:t>È importante ricordare che per ogni tipologia di attività finanziaria avente caratteristiche differenti è necessario compilare una riga separata nel foglio Dati-RW</w:t>
      </w:r>
      <w:r w:rsidR="002534C5">
        <w:t xml:space="preserve"> e conseguenza del quadro RW</w:t>
      </w:r>
      <w:r w:rsidRPr="009F5FAE">
        <w:t xml:space="preserve">. Ad esempio, se si possiedono tre diverse tipologie di attività (come un conto corrente, un deposito titoli e una polizza assicurativa) in due paesi esteri distinti, occorreranno </w:t>
      </w:r>
      <w:proofErr w:type="gramStart"/>
      <w:r w:rsidRPr="009F5FAE">
        <w:t>6</w:t>
      </w:r>
      <w:proofErr w:type="gramEnd"/>
      <w:r w:rsidRPr="009F5FAE">
        <w:t xml:space="preserve"> righe totali: una per ciascuna combinazione tra tipologia e paese. Soltanto gli elementi perfettamente omogenei </w:t>
      </w:r>
      <w:r w:rsidR="00654992">
        <w:t>(</w:t>
      </w:r>
      <w:r w:rsidRPr="009F5FAE">
        <w:t>con gli stessi valori in tutti i campi con intestazione azzurra</w:t>
      </w:r>
      <w:r w:rsidR="00654992">
        <w:t>)</w:t>
      </w:r>
      <w:r w:rsidRPr="009F5FAE">
        <w:t xml:space="preserve"> possono essere raggruppati in un’unica riga. </w:t>
      </w:r>
    </w:p>
    <w:p w14:paraId="0E2372C6" w14:textId="5723FEC9" w:rsidR="00627AE7" w:rsidRDefault="00627AE7" w:rsidP="000E6FB7">
      <w:pPr>
        <w:jc w:val="both"/>
      </w:pPr>
      <w:r>
        <w:t xml:space="preserve">Una volta definiti i beni o i raggruppamenti omogenei andrà indicata la quota di </w:t>
      </w:r>
      <w:r w:rsidR="0014561D">
        <w:t>possesso il valore iniziale e l’eventuale codice fiscale del soggetto delegante.</w:t>
      </w:r>
      <w:r w:rsidR="00BB1E42">
        <w:t xml:space="preserve"> Nel tool il valore finale è invece calcolato in base alle movimentazioni.</w:t>
      </w:r>
    </w:p>
    <w:p w14:paraId="3E38FF64" w14:textId="77777777" w:rsidR="00193D93" w:rsidRDefault="00193D93" w:rsidP="00193D93">
      <w:pPr>
        <w:keepNext/>
        <w:jc w:val="both"/>
      </w:pPr>
      <w:r w:rsidRPr="00193D93">
        <w:rPr>
          <w:noProof/>
        </w:rPr>
        <w:drawing>
          <wp:inline distT="0" distB="0" distL="0" distR="0" wp14:anchorId="219E3364" wp14:editId="277BCF80">
            <wp:extent cx="6120130" cy="664340"/>
            <wp:effectExtent l="0" t="0" r="0" b="2540"/>
            <wp:docPr id="51190455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b="72271"/>
                    <a:stretch>
                      <a:fillRect/>
                    </a:stretch>
                  </pic:blipFill>
                  <pic:spPr bwMode="auto">
                    <a:xfrm>
                      <a:off x="0" y="0"/>
                      <a:ext cx="6120130" cy="664340"/>
                    </a:xfrm>
                    <a:prstGeom prst="rect">
                      <a:avLst/>
                    </a:prstGeom>
                    <a:noFill/>
                    <a:ln>
                      <a:noFill/>
                    </a:ln>
                    <a:extLst>
                      <a:ext uri="{53640926-AAD7-44D8-BBD7-CCE9431645EC}">
                        <a14:shadowObscured xmlns:a14="http://schemas.microsoft.com/office/drawing/2010/main"/>
                      </a:ext>
                    </a:extLst>
                  </pic:spPr>
                </pic:pic>
              </a:graphicData>
            </a:graphic>
          </wp:inline>
        </w:drawing>
      </w:r>
    </w:p>
    <w:p w14:paraId="422CE18A" w14:textId="2098B2C6" w:rsidR="00193D93" w:rsidRDefault="00193D93" w:rsidP="00193D93">
      <w:pPr>
        <w:pStyle w:val="Didascalia"/>
        <w:jc w:val="both"/>
      </w:pPr>
      <w:r>
        <w:t xml:space="preserve">Figura </w:t>
      </w:r>
      <w:fldSimple w:instr=" SEQ Figura \* ARABIC ">
        <w:r w:rsidR="00BE2D24">
          <w:rPr>
            <w:noProof/>
          </w:rPr>
          <w:t>3</w:t>
        </w:r>
      </w:fldSimple>
      <w:r>
        <w:t xml:space="preserve">: </w:t>
      </w:r>
      <w:r w:rsidR="00496B92">
        <w:t xml:space="preserve">Foglio </w:t>
      </w:r>
      <w:r>
        <w:t>Dati-RW 2</w:t>
      </w:r>
    </w:p>
    <w:p w14:paraId="29EC31D8" w14:textId="6E3A082C" w:rsidR="000E6FB7" w:rsidRDefault="00193D93" w:rsidP="000E6FB7">
      <w:pPr>
        <w:jc w:val="both"/>
      </w:pPr>
      <w:r>
        <w:t xml:space="preserve">La colonna </w:t>
      </w:r>
      <w:proofErr w:type="spellStart"/>
      <w:r>
        <w:t>ValMax</w:t>
      </w:r>
      <w:proofErr w:type="spellEnd"/>
      <w:r>
        <w:t xml:space="preserve"> per CC </w:t>
      </w:r>
      <w:r w:rsidR="00EE4FF7">
        <w:t xml:space="preserve">viene </w:t>
      </w:r>
      <w:r>
        <w:t xml:space="preserve">compilata </w:t>
      </w:r>
      <w:r w:rsidR="00EE4FF7">
        <w:t xml:space="preserve">in automatico dal foglio “CC” solo per </w:t>
      </w:r>
      <w:r>
        <w:t xml:space="preserve">solo per </w:t>
      </w:r>
      <w:r w:rsidR="00EE4FF7">
        <w:t>le righe riguardanti i conti correnti.</w:t>
      </w:r>
    </w:p>
    <w:p w14:paraId="277078FE" w14:textId="77777777" w:rsidR="00EE4FF7" w:rsidRDefault="00EE4FF7" w:rsidP="00EE4FF7">
      <w:pPr>
        <w:keepNext/>
        <w:jc w:val="both"/>
      </w:pPr>
      <w:r w:rsidRPr="00EE4FF7">
        <w:rPr>
          <w:noProof/>
        </w:rPr>
        <w:drawing>
          <wp:inline distT="0" distB="0" distL="0" distR="0" wp14:anchorId="7AF54AA4" wp14:editId="19344FB4">
            <wp:extent cx="6120130" cy="929640"/>
            <wp:effectExtent l="0" t="0" r="0" b="0"/>
            <wp:docPr id="60557543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929640"/>
                    </a:xfrm>
                    <a:prstGeom prst="rect">
                      <a:avLst/>
                    </a:prstGeom>
                    <a:noFill/>
                    <a:ln>
                      <a:noFill/>
                    </a:ln>
                  </pic:spPr>
                </pic:pic>
              </a:graphicData>
            </a:graphic>
          </wp:inline>
        </w:drawing>
      </w:r>
    </w:p>
    <w:p w14:paraId="36CE34F8" w14:textId="65F9C02A" w:rsidR="00EE4FF7" w:rsidRDefault="00EE4FF7" w:rsidP="00EE4FF7">
      <w:pPr>
        <w:pStyle w:val="Didascalia"/>
        <w:jc w:val="both"/>
      </w:pPr>
      <w:r>
        <w:t xml:space="preserve">Figura </w:t>
      </w:r>
      <w:fldSimple w:instr=" SEQ Figura \* ARABIC ">
        <w:r w:rsidR="00BE2D24">
          <w:rPr>
            <w:noProof/>
          </w:rPr>
          <w:t>4</w:t>
        </w:r>
      </w:fldSimple>
      <w:r>
        <w:t xml:space="preserve">: </w:t>
      </w:r>
      <w:r w:rsidR="00496B92">
        <w:t xml:space="preserve">Foglio </w:t>
      </w:r>
      <w:r>
        <w:t>CC</w:t>
      </w:r>
    </w:p>
    <w:p w14:paraId="6540F44C" w14:textId="23C932C4" w:rsidR="000E6FB7" w:rsidRDefault="000E6FB7" w:rsidP="000E6FB7">
      <w:pPr>
        <w:jc w:val="both"/>
      </w:pPr>
      <w:r>
        <w:t xml:space="preserve">È proprio il foglio “CC” a giocare un ruolo cruciale nella corretta determinazione dei dati da indicare per i conti esteri. Oltre alla valuta e alla data, è necessario inserire gli accrediti e gli addebiti nella moneta originale. Il tool, mediante i tassi di cambio giornalieri della Banca d’Italia, calcola automaticamente saldi, medie e valori massimi in euro. </w:t>
      </w:r>
    </w:p>
    <w:p w14:paraId="6F3D38BD" w14:textId="77777777" w:rsidR="00364939" w:rsidRPr="00364939" w:rsidRDefault="00364939" w:rsidP="00841E6F">
      <w:pPr>
        <w:pStyle w:val="Titolo2"/>
      </w:pPr>
      <w:r w:rsidRPr="00364939">
        <w:t>Il quadro RT per la gestione delle plusvalenze finanziarie estere</w:t>
      </w:r>
    </w:p>
    <w:p w14:paraId="029CD01D" w14:textId="482F206E" w:rsidR="00E737E1" w:rsidRDefault="00E737E1" w:rsidP="00E737E1">
      <w:pPr>
        <w:jc w:val="both"/>
      </w:pPr>
      <w:r>
        <w:t xml:space="preserve">La preparazione dei prospetti utili alla compilazione del quadro RW è propedeutica anche alla compilazione degli altri quadri: se sono state indicati e analizzati acquisti e vendite con i relativi prezzi di negoziazione ed è stato calcolato correttamente il LIFO (che il tool esegue in automatico), il calcolo delle plusvalenze realizzate che confluiscono </w:t>
      </w:r>
      <w:r w:rsidR="00ED6D4C">
        <w:t xml:space="preserve">nel quadro RT (o RL in casi particolari) </w:t>
      </w:r>
      <w:r>
        <w:t>si riduce ad una somma algebrica.</w:t>
      </w:r>
    </w:p>
    <w:p w14:paraId="687023F3" w14:textId="7ABC6AE3" w:rsidR="00364939" w:rsidRDefault="00364939" w:rsidP="00364939">
      <w:pPr>
        <w:jc w:val="both"/>
      </w:pPr>
      <w:r>
        <w:t xml:space="preserve">Il quadro RT del modello Redditi PF è dedicato all’indicazione delle plusvalenze e degli altri redditi diversi di natura finanziaria di cui all’art. 67 del TUIR, realizzati nel periodo d’imposta dal contribuente al di fuori dell’esercizio d’impresa. In particolare, va utilizzato per dichiarare le plusvalenze derivanti dalla cessione a titolo oneroso di partecipazioni qualificate e </w:t>
      </w:r>
      <w:proofErr w:type="gramStart"/>
      <w:r>
        <w:t>non</w:t>
      </w:r>
      <w:proofErr w:type="gramEnd"/>
      <w:r>
        <w:t>, strumenti finanziari, cripto-attività, valute estere e contratti derivati, quando il contribuente non si sia avvalso dell’intervento di un intermediario residente.</w:t>
      </w:r>
    </w:p>
    <w:p w14:paraId="3985AAEE" w14:textId="12B2CB87" w:rsidR="00336404" w:rsidRPr="00336404" w:rsidRDefault="00B20973" w:rsidP="00336404">
      <w:pPr>
        <w:jc w:val="both"/>
      </w:pPr>
      <w:r>
        <w:lastRenderedPageBreak/>
        <w:t xml:space="preserve">Da quest’anno, con la comparsa dei quadri dedicati alle attività estere nel modello </w:t>
      </w:r>
      <w:r w:rsidR="00336404">
        <w:t xml:space="preserve">730/2025 in caso di </w:t>
      </w:r>
      <w:r w:rsidR="00336404" w:rsidRPr="00336404">
        <w:t>realizz</w:t>
      </w:r>
      <w:r w:rsidR="00336404">
        <w:t>o</w:t>
      </w:r>
      <w:r w:rsidR="00336404" w:rsidRPr="00336404">
        <w:t> </w:t>
      </w:r>
      <w:r w:rsidR="00336404">
        <w:t xml:space="preserve">di </w:t>
      </w:r>
      <w:r w:rsidR="00336404" w:rsidRPr="00336404">
        <w:rPr>
          <w:b/>
          <w:bCs/>
        </w:rPr>
        <w:t>plusvalenze da cessione di redditi esteri</w:t>
      </w:r>
      <w:r w:rsidR="00336404" w:rsidRPr="00336404">
        <w:t xml:space="preserve"> (ad esempio, dalla vendita di azioni, obbligazioni o partecipazioni detenute all’estero) </w:t>
      </w:r>
      <w:r w:rsidR="00160492">
        <w:t>è possibile dichiarare nel modello i seguenti redditi:</w:t>
      </w:r>
    </w:p>
    <w:p w14:paraId="57FB4BFE" w14:textId="77777777" w:rsidR="00336404" w:rsidRPr="00336404" w:rsidRDefault="00336404" w:rsidP="00336404">
      <w:pPr>
        <w:numPr>
          <w:ilvl w:val="0"/>
          <w:numId w:val="31"/>
        </w:numPr>
        <w:jc w:val="both"/>
      </w:pPr>
      <w:r w:rsidRPr="00336404">
        <w:rPr>
          <w:b/>
          <w:bCs/>
        </w:rPr>
        <w:t>Plusvalenze da strumenti finanziari esteri</w:t>
      </w:r>
      <w:r w:rsidRPr="00336404">
        <w:t> (azioni, obbligazioni, ecc.) devono essere dichiarate nel </w:t>
      </w:r>
      <w:r w:rsidRPr="00336404">
        <w:rPr>
          <w:b/>
          <w:bCs/>
        </w:rPr>
        <w:t>nuovo quadro T</w:t>
      </w:r>
      <w:r w:rsidRPr="00336404">
        <w:t> del modello 730/2025, che accoglie ora anche le plusvalenze su cripto-attività e strumenti finanziari esteri.</w:t>
      </w:r>
    </w:p>
    <w:p w14:paraId="5E9F3FD0" w14:textId="77777777" w:rsidR="00336404" w:rsidRPr="00336404" w:rsidRDefault="00336404" w:rsidP="00336404">
      <w:pPr>
        <w:numPr>
          <w:ilvl w:val="0"/>
          <w:numId w:val="31"/>
        </w:numPr>
        <w:jc w:val="both"/>
      </w:pPr>
      <w:r w:rsidRPr="00336404">
        <w:rPr>
          <w:b/>
          <w:bCs/>
        </w:rPr>
        <w:t>Plusvalenze da partecipazioni estere non negoziate in mercati regolamentati</w:t>
      </w:r>
      <w:r w:rsidRPr="00336404">
        <w:t>: fino all’anno di imposta 2022 queste andavano dichiarate esclusivamente nel quadro RT del modello Redditi PF. Tuttavia, dalla dichiarazione 2025 (redditi 2024), la normativa ha previsto che anche queste plusvalenze possano essere dichiarate direttamente nel modello 730, utilizzando il quadro T, senza necessità di compilare separatamente il quadro RT del modello Redditi PF, salvo casi particolari.</w:t>
      </w:r>
    </w:p>
    <w:p w14:paraId="65209283" w14:textId="51E05A3C" w:rsidR="00336404" w:rsidRPr="00336404" w:rsidRDefault="005C45E6" w:rsidP="005C45E6">
      <w:pPr>
        <w:jc w:val="both"/>
      </w:pPr>
      <w:proofErr w:type="gramStart"/>
      <w:r>
        <w:t>Tuttavia</w:t>
      </w:r>
      <w:proofErr w:type="gramEnd"/>
      <w:r>
        <w:t xml:space="preserve"> nel caso in cui le </w:t>
      </w:r>
      <w:r w:rsidR="00336404" w:rsidRPr="00336404">
        <w:t>plusvalenze che poss</w:t>
      </w:r>
      <w:r>
        <w:t>ano</w:t>
      </w:r>
      <w:r w:rsidR="00336404" w:rsidRPr="00336404">
        <w:t xml:space="preserve"> essere dichiarate nel 730 (ad esempio, casi particolari di partecipazioni qualificate in società estere a fiscalità privilegiata o situazioni non gestibili dal quadro T), resta l’obbligo di presentare anche il modello Redditi PF compilando il quadro RT.</w:t>
      </w:r>
    </w:p>
    <w:p w14:paraId="3697B58A" w14:textId="062F869A" w:rsidR="00364939" w:rsidRDefault="00ED6D4C" w:rsidP="00364939">
      <w:pPr>
        <w:jc w:val="both"/>
      </w:pPr>
      <w:r>
        <w:t>Il</w:t>
      </w:r>
      <w:r w:rsidR="00364939">
        <w:t xml:space="preserve"> quadro </w:t>
      </w:r>
      <w:r w:rsidR="00073A05">
        <w:t xml:space="preserve">contenuto nella dichiarazione </w:t>
      </w:r>
      <w:r w:rsidR="00025256" w:rsidRPr="00025256">
        <w:rPr>
          <w:b/>
          <w:bCs/>
        </w:rPr>
        <w:t>Redditi PF 2025</w:t>
      </w:r>
      <w:r w:rsidR="00025256">
        <w:t xml:space="preserve"> </w:t>
      </w:r>
      <w:r w:rsidR="00364939">
        <w:t>si articola in sei sezioni, dalla I alla VI, ciascuna delle quali accoglie tipologie specifiche di plusvalenze o minusvalenze. Il contribuente è tenuto a compilare i campi della sezione interessata, indicando i dati richiesti sia ai fini del calcolo dell’imposta sostitutiva che per l’eventuale riporto di perdite pregresse o eccedenze non compensate.</w:t>
      </w:r>
    </w:p>
    <w:p w14:paraId="59986515" w14:textId="77777777" w:rsidR="00364939" w:rsidRDefault="00364939" w:rsidP="00364939">
      <w:pPr>
        <w:jc w:val="both"/>
        <w:rPr>
          <w:b/>
          <w:bCs/>
        </w:rPr>
      </w:pPr>
      <w:r w:rsidRPr="00364939">
        <w:rPr>
          <w:b/>
          <w:bCs/>
        </w:rPr>
        <w:t>Sezione I – Plusvalenze assoggettate a imposta sostitutiva del 20%</w:t>
      </w:r>
    </w:p>
    <w:p w14:paraId="585B4724" w14:textId="77777777" w:rsidR="00542C62" w:rsidRDefault="00542C62" w:rsidP="00542C62">
      <w:pPr>
        <w:keepNext/>
        <w:jc w:val="both"/>
      </w:pPr>
      <w:r w:rsidRPr="00542C62">
        <w:rPr>
          <w:noProof/>
        </w:rPr>
        <w:drawing>
          <wp:inline distT="0" distB="0" distL="0" distR="0" wp14:anchorId="282CCF53" wp14:editId="437194AA">
            <wp:extent cx="6120130" cy="643890"/>
            <wp:effectExtent l="0" t="0" r="0" b="3810"/>
            <wp:docPr id="113829581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643890"/>
                    </a:xfrm>
                    <a:prstGeom prst="rect">
                      <a:avLst/>
                    </a:prstGeom>
                    <a:noFill/>
                    <a:ln>
                      <a:noFill/>
                    </a:ln>
                  </pic:spPr>
                </pic:pic>
              </a:graphicData>
            </a:graphic>
          </wp:inline>
        </w:drawing>
      </w:r>
    </w:p>
    <w:p w14:paraId="110E4494" w14:textId="10B5B28D" w:rsidR="00364939" w:rsidRPr="00364939" w:rsidRDefault="00542C62" w:rsidP="00542C62">
      <w:pPr>
        <w:pStyle w:val="Didascalia"/>
        <w:jc w:val="both"/>
        <w:rPr>
          <w:b/>
          <w:bCs/>
        </w:rPr>
      </w:pPr>
      <w:r>
        <w:t xml:space="preserve">Figura </w:t>
      </w:r>
      <w:fldSimple w:instr=" SEQ Figura \* ARABIC ">
        <w:r w:rsidR="00BE2D24">
          <w:rPr>
            <w:noProof/>
          </w:rPr>
          <w:t>5</w:t>
        </w:r>
      </w:fldSimple>
      <w:r>
        <w:t xml:space="preserve">: </w:t>
      </w:r>
      <w:r w:rsidR="00496B92">
        <w:t xml:space="preserve">Quadro </w:t>
      </w:r>
      <w:r>
        <w:t>RT sezione I</w:t>
      </w:r>
    </w:p>
    <w:p w14:paraId="0A9B483F" w14:textId="77777777" w:rsidR="00364939" w:rsidRDefault="00364939" w:rsidP="00364939">
      <w:pPr>
        <w:jc w:val="both"/>
      </w:pPr>
      <w:r>
        <w:t>La Sezione I è riservata alle plusvalenze realizzate entro il 30 giugno 2014 e soggette a imposta sostitutiva con aliquota del 20%, salvo il caso di titoli con regime agevolato (12,50%) per i quali occorre indicare il 62,50% della plusvalenza. I dati da riportare sono quelli relativi al totale dei corrispettivi percepiti e ai costi o valori di acquisto dei beni ceduti. La base imponibile si determina per differenza, escludendo eventuali oneri indeducibili.</w:t>
      </w:r>
    </w:p>
    <w:p w14:paraId="6B40E113" w14:textId="77777777" w:rsidR="00364939" w:rsidRPr="00542C62" w:rsidRDefault="00364939" w:rsidP="00364939">
      <w:pPr>
        <w:jc w:val="both"/>
        <w:rPr>
          <w:b/>
          <w:bCs/>
        </w:rPr>
      </w:pPr>
      <w:r w:rsidRPr="00542C62">
        <w:rPr>
          <w:b/>
          <w:bCs/>
        </w:rPr>
        <w:t>Sezione II – Plusvalenze assoggettate a imposta sostitutiva del 26%</w:t>
      </w:r>
    </w:p>
    <w:p w14:paraId="69ABA873" w14:textId="77777777" w:rsidR="00542C62" w:rsidRDefault="00542C62" w:rsidP="00542C62">
      <w:pPr>
        <w:keepNext/>
        <w:jc w:val="both"/>
      </w:pPr>
      <w:r w:rsidRPr="00542C62">
        <w:rPr>
          <w:noProof/>
        </w:rPr>
        <w:drawing>
          <wp:inline distT="0" distB="0" distL="0" distR="0" wp14:anchorId="0CEAEA34" wp14:editId="2F4C4472">
            <wp:extent cx="6120130" cy="603250"/>
            <wp:effectExtent l="0" t="0" r="0" b="6350"/>
            <wp:docPr id="662750648"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603250"/>
                    </a:xfrm>
                    <a:prstGeom prst="rect">
                      <a:avLst/>
                    </a:prstGeom>
                    <a:noFill/>
                    <a:ln>
                      <a:noFill/>
                    </a:ln>
                  </pic:spPr>
                </pic:pic>
              </a:graphicData>
            </a:graphic>
          </wp:inline>
        </w:drawing>
      </w:r>
    </w:p>
    <w:p w14:paraId="330795F5" w14:textId="2CD7AE64" w:rsidR="00364939" w:rsidRDefault="00542C62" w:rsidP="00542C62">
      <w:pPr>
        <w:pStyle w:val="Didascalia"/>
        <w:jc w:val="both"/>
      </w:pPr>
      <w:r>
        <w:t xml:space="preserve">Figura </w:t>
      </w:r>
      <w:fldSimple w:instr=" SEQ Figura \* ARABIC ">
        <w:r w:rsidR="00BE2D24">
          <w:rPr>
            <w:noProof/>
          </w:rPr>
          <w:t>6</w:t>
        </w:r>
      </w:fldSimple>
      <w:r>
        <w:t xml:space="preserve">: </w:t>
      </w:r>
      <w:r w:rsidR="00496B92">
        <w:t xml:space="preserve">Quadro </w:t>
      </w:r>
      <w:r>
        <w:t>RT sezione II</w:t>
      </w:r>
    </w:p>
    <w:p w14:paraId="4510B2BE" w14:textId="77777777" w:rsidR="00364939" w:rsidRDefault="00364939" w:rsidP="00364939">
      <w:pPr>
        <w:jc w:val="both"/>
      </w:pPr>
      <w:r>
        <w:lastRenderedPageBreak/>
        <w:t>In questa sezione vanno riportate le plusvalenze derivanti dalla cessione di partecipazioni non qualificate, titoli non partecipativi, strumenti finanziari, valute estere e altri proventi di natura finanziaria realizzati a partire dal 1° luglio 2014, in assenza di intermediario residente. L’imposta sostitutiva è pari al 26% e la base imponibile segue i criteri ordinari previsti dall’art. 68, TUIR.</w:t>
      </w:r>
    </w:p>
    <w:p w14:paraId="76B19E27" w14:textId="77777777" w:rsidR="00364939" w:rsidRPr="00542C62" w:rsidRDefault="00364939" w:rsidP="00364939">
      <w:pPr>
        <w:jc w:val="both"/>
        <w:rPr>
          <w:b/>
          <w:bCs/>
        </w:rPr>
      </w:pPr>
      <w:r w:rsidRPr="00542C62">
        <w:rPr>
          <w:b/>
          <w:bCs/>
        </w:rPr>
        <w:t>Sezione III-A – Partecipazioni qualificate</w:t>
      </w:r>
    </w:p>
    <w:p w14:paraId="3780EE90" w14:textId="77777777" w:rsidR="00542C62" w:rsidRDefault="00542C62" w:rsidP="00542C62">
      <w:pPr>
        <w:keepNext/>
        <w:jc w:val="both"/>
      </w:pPr>
      <w:r w:rsidRPr="00542C62">
        <w:rPr>
          <w:noProof/>
        </w:rPr>
        <w:drawing>
          <wp:inline distT="0" distB="0" distL="0" distR="0" wp14:anchorId="11067B25" wp14:editId="79B0888F">
            <wp:extent cx="6120130" cy="998855"/>
            <wp:effectExtent l="0" t="0" r="0" b="0"/>
            <wp:docPr id="848786114"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998855"/>
                    </a:xfrm>
                    <a:prstGeom prst="rect">
                      <a:avLst/>
                    </a:prstGeom>
                    <a:noFill/>
                    <a:ln>
                      <a:noFill/>
                    </a:ln>
                  </pic:spPr>
                </pic:pic>
              </a:graphicData>
            </a:graphic>
          </wp:inline>
        </w:drawing>
      </w:r>
    </w:p>
    <w:p w14:paraId="170D3741" w14:textId="694A0366" w:rsidR="00364939" w:rsidRDefault="00542C62" w:rsidP="00542C62">
      <w:pPr>
        <w:pStyle w:val="Didascalia"/>
        <w:jc w:val="both"/>
      </w:pPr>
      <w:r>
        <w:t xml:space="preserve">Figura </w:t>
      </w:r>
      <w:fldSimple w:instr=" SEQ Figura \* ARABIC ">
        <w:r w:rsidR="00BE2D24">
          <w:rPr>
            <w:noProof/>
          </w:rPr>
          <w:t>7</w:t>
        </w:r>
      </w:fldSimple>
      <w:r>
        <w:t xml:space="preserve">: </w:t>
      </w:r>
      <w:r w:rsidR="00496B92">
        <w:t xml:space="preserve">Quadro </w:t>
      </w:r>
      <w:r>
        <w:t>RT sezione III-A</w:t>
      </w:r>
    </w:p>
    <w:p w14:paraId="710D8078" w14:textId="77777777" w:rsidR="00364939" w:rsidRDefault="00364939" w:rsidP="00364939">
      <w:pPr>
        <w:jc w:val="both"/>
      </w:pPr>
      <w:r>
        <w:t>La Sezione III-A accoglie le plusvalenze da partecipazioni qualificate, definite secondo i limiti del 20% dei diritti di voto o del 25% del capitale, a seconda della natura della società partecipata. La sezione è stata interamente ristrutturata e suddivisa in base al periodo di realizzo della plusvalenza: ante 2009, dal 2009 al 2017, e dal 2018 al 2018. L’imponibilità parziale della plusvalenza varia a seconda dell’arco temporale di riferimento e l’aliquota IRPEF progressiva si applica sulla quota imponibile.</w:t>
      </w:r>
    </w:p>
    <w:p w14:paraId="4524E858" w14:textId="77777777" w:rsidR="00364939" w:rsidRPr="00B41C7C" w:rsidRDefault="00364939" w:rsidP="00364939">
      <w:pPr>
        <w:jc w:val="both"/>
        <w:rPr>
          <w:b/>
          <w:bCs/>
        </w:rPr>
      </w:pPr>
      <w:r w:rsidRPr="00B41C7C">
        <w:rPr>
          <w:b/>
          <w:bCs/>
        </w:rPr>
        <w:t>Sezione IV-A – Partecipazioni in Paesi o enti esteri a regime fiscale privilegiato e OICR immobiliari esteri</w:t>
      </w:r>
    </w:p>
    <w:p w14:paraId="0CACC531" w14:textId="77777777" w:rsidR="00B41C7C" w:rsidRDefault="00B41C7C" w:rsidP="00B41C7C">
      <w:pPr>
        <w:keepNext/>
        <w:jc w:val="both"/>
      </w:pPr>
      <w:r w:rsidRPr="00B41C7C">
        <w:rPr>
          <w:noProof/>
        </w:rPr>
        <w:drawing>
          <wp:inline distT="0" distB="0" distL="0" distR="0" wp14:anchorId="56131E9E" wp14:editId="00FB8530">
            <wp:extent cx="6120130" cy="953770"/>
            <wp:effectExtent l="0" t="0" r="0" b="0"/>
            <wp:docPr id="122693342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953770"/>
                    </a:xfrm>
                    <a:prstGeom prst="rect">
                      <a:avLst/>
                    </a:prstGeom>
                    <a:noFill/>
                    <a:ln>
                      <a:noFill/>
                    </a:ln>
                  </pic:spPr>
                </pic:pic>
              </a:graphicData>
            </a:graphic>
          </wp:inline>
        </w:drawing>
      </w:r>
    </w:p>
    <w:p w14:paraId="33F246F2" w14:textId="57714E6C" w:rsidR="00364939" w:rsidRDefault="00B41C7C" w:rsidP="00B41C7C">
      <w:pPr>
        <w:pStyle w:val="Didascalia"/>
        <w:jc w:val="both"/>
      </w:pPr>
      <w:r>
        <w:t xml:space="preserve">Figura </w:t>
      </w:r>
      <w:fldSimple w:instr=" SEQ Figura \* ARABIC ">
        <w:r w:rsidR="00BE2D24">
          <w:rPr>
            <w:noProof/>
          </w:rPr>
          <w:t>8</w:t>
        </w:r>
      </w:fldSimple>
      <w:r>
        <w:t xml:space="preserve">: </w:t>
      </w:r>
      <w:r w:rsidR="00496B92">
        <w:t xml:space="preserve">Quadro </w:t>
      </w:r>
      <w:r>
        <w:t>RT sezione IV-A</w:t>
      </w:r>
    </w:p>
    <w:p w14:paraId="7098769F" w14:textId="77777777" w:rsidR="00364939" w:rsidRDefault="00364939" w:rsidP="00364939">
      <w:pPr>
        <w:jc w:val="both"/>
      </w:pPr>
      <w:r>
        <w:t>Questa sezione è dedicata alle cessioni di partecipazioni in società residenti in Stati a fiscalità privilegiata e di quote di organismi esteri non conformi alla Direttiva 2011/61/UE. In tal caso, l’eventuale imposizione segue regole specifiche, compresa la necessità di indicare il valore normale della partecipazione, se superiore al corrispettivo percepito. La normativa richiede la presenza di interpello favorevole o la dimostrazione dell’assenza di gestione interposta.</w:t>
      </w:r>
    </w:p>
    <w:p w14:paraId="6D361F3D" w14:textId="77777777" w:rsidR="00364939" w:rsidRPr="00B41C7C" w:rsidRDefault="00364939" w:rsidP="00364939">
      <w:pPr>
        <w:jc w:val="both"/>
        <w:rPr>
          <w:b/>
          <w:bCs/>
        </w:rPr>
      </w:pPr>
      <w:r w:rsidRPr="00B41C7C">
        <w:rPr>
          <w:b/>
          <w:bCs/>
        </w:rPr>
        <w:t>Sezione V-A – Cripto-attività</w:t>
      </w:r>
    </w:p>
    <w:p w14:paraId="2FC6ED61" w14:textId="77777777" w:rsidR="00B41C7C" w:rsidRDefault="00B41C7C" w:rsidP="00B41C7C">
      <w:pPr>
        <w:keepNext/>
        <w:jc w:val="both"/>
      </w:pPr>
      <w:r w:rsidRPr="00B41C7C">
        <w:rPr>
          <w:noProof/>
        </w:rPr>
        <w:drawing>
          <wp:inline distT="0" distB="0" distL="0" distR="0" wp14:anchorId="3CCBBDBF" wp14:editId="7C2A9C72">
            <wp:extent cx="6120130" cy="505460"/>
            <wp:effectExtent l="0" t="0" r="0" b="8890"/>
            <wp:docPr id="1668115229"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505460"/>
                    </a:xfrm>
                    <a:prstGeom prst="rect">
                      <a:avLst/>
                    </a:prstGeom>
                    <a:noFill/>
                    <a:ln>
                      <a:noFill/>
                    </a:ln>
                  </pic:spPr>
                </pic:pic>
              </a:graphicData>
            </a:graphic>
          </wp:inline>
        </w:drawing>
      </w:r>
    </w:p>
    <w:p w14:paraId="5986B968" w14:textId="30DA746E" w:rsidR="00B41C7C" w:rsidRDefault="00B41C7C" w:rsidP="00B41C7C">
      <w:pPr>
        <w:pStyle w:val="Didascalia"/>
        <w:jc w:val="both"/>
      </w:pPr>
      <w:r>
        <w:t xml:space="preserve">Figura </w:t>
      </w:r>
      <w:fldSimple w:instr=" SEQ Figura \* ARABIC ">
        <w:r w:rsidR="00BE2D24">
          <w:rPr>
            <w:noProof/>
          </w:rPr>
          <w:t>9</w:t>
        </w:r>
      </w:fldSimple>
      <w:r>
        <w:t xml:space="preserve">: </w:t>
      </w:r>
      <w:r w:rsidR="00496B92">
        <w:t xml:space="preserve">Quadro </w:t>
      </w:r>
      <w:r>
        <w:t>RT sezione V-A</w:t>
      </w:r>
    </w:p>
    <w:p w14:paraId="108BD05C" w14:textId="29D7DEAF" w:rsidR="00364939" w:rsidRDefault="00364939" w:rsidP="00364939">
      <w:pPr>
        <w:jc w:val="both"/>
      </w:pPr>
      <w:r>
        <w:t xml:space="preserve">Le plusvalenze su cripto-attività, come definite dal comma 1, lett. c-sexies), art. 67 del TUIR, devono essere dichiarate nella Sezione V-A, se realizzate a partire dal 1° gennaio 2024. Sono soggette a imposta sostitutiva del 26%, salvo esonero se il totale dei corrispettivi annui non </w:t>
      </w:r>
      <w:r>
        <w:lastRenderedPageBreak/>
        <w:t>supera i 2.000 euro. In caso di permute, il valore normale della cripto-attività permutata rappresenta il corrispettivo.</w:t>
      </w:r>
    </w:p>
    <w:p w14:paraId="4B3BA651" w14:textId="77777777" w:rsidR="00364939" w:rsidRPr="00B41C7C" w:rsidRDefault="00364939" w:rsidP="00364939">
      <w:pPr>
        <w:jc w:val="both"/>
        <w:rPr>
          <w:b/>
          <w:bCs/>
        </w:rPr>
      </w:pPr>
      <w:r w:rsidRPr="00B41C7C">
        <w:rPr>
          <w:b/>
          <w:bCs/>
        </w:rPr>
        <w:t>Sezione VI – Riepilogo delle plusvalenze/minusvalenze</w:t>
      </w:r>
    </w:p>
    <w:p w14:paraId="0AE25436" w14:textId="77777777" w:rsidR="00B41C7C" w:rsidRDefault="00B41C7C" w:rsidP="00B41C7C">
      <w:pPr>
        <w:keepNext/>
        <w:jc w:val="both"/>
      </w:pPr>
      <w:r w:rsidRPr="00B41C7C">
        <w:rPr>
          <w:noProof/>
        </w:rPr>
        <w:drawing>
          <wp:inline distT="0" distB="0" distL="0" distR="0" wp14:anchorId="5BA159C5" wp14:editId="00904911">
            <wp:extent cx="6120130" cy="704215"/>
            <wp:effectExtent l="0" t="0" r="0" b="635"/>
            <wp:docPr id="51420916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704215"/>
                    </a:xfrm>
                    <a:prstGeom prst="rect">
                      <a:avLst/>
                    </a:prstGeom>
                    <a:noFill/>
                    <a:ln>
                      <a:noFill/>
                    </a:ln>
                  </pic:spPr>
                </pic:pic>
              </a:graphicData>
            </a:graphic>
          </wp:inline>
        </w:drawing>
      </w:r>
    </w:p>
    <w:p w14:paraId="4A685754" w14:textId="47B168B7" w:rsidR="00364939" w:rsidRDefault="00B41C7C" w:rsidP="00B41C7C">
      <w:pPr>
        <w:pStyle w:val="Didascalia"/>
        <w:jc w:val="both"/>
      </w:pPr>
      <w:r>
        <w:t xml:space="preserve">Figura </w:t>
      </w:r>
      <w:fldSimple w:instr=" SEQ Figura \* ARABIC ">
        <w:r w:rsidR="00BE2D24">
          <w:rPr>
            <w:noProof/>
          </w:rPr>
          <w:t>10</w:t>
        </w:r>
      </w:fldSimple>
      <w:r>
        <w:t xml:space="preserve">: </w:t>
      </w:r>
      <w:r w:rsidR="00496B92">
        <w:t xml:space="preserve">Quadro </w:t>
      </w:r>
      <w:r>
        <w:t>RT sezione VI</w:t>
      </w:r>
    </w:p>
    <w:p w14:paraId="67DC3220" w14:textId="057BE7AB" w:rsidR="00A032A2" w:rsidRDefault="00364939" w:rsidP="00364939">
      <w:pPr>
        <w:jc w:val="both"/>
      </w:pPr>
      <w:r>
        <w:t>Infine, nella Sezione VI vengono riepilogati gli importi delle plusvalenze e minusvalenze risultanti dalle sezioni precedenti. Le minusvalenze indicate possono essere portate in compensazione con le plusvalenze dello stesso periodo o riportate negli anni successivi, con limiti e regole specifiche in base alla natura e alla tempistica di realizzo.</w:t>
      </w:r>
    </w:p>
    <w:p w14:paraId="73012FF5" w14:textId="56584661" w:rsidR="00A032A2" w:rsidRDefault="00A032A2" w:rsidP="00A032A2">
      <w:pPr>
        <w:jc w:val="both"/>
      </w:pPr>
      <w:r>
        <w:t xml:space="preserve">La compilazione del quadro RT avviene automaticamente nel </w:t>
      </w:r>
      <w:r w:rsidRPr="00D81230">
        <w:rPr>
          <w:i/>
          <w:iCs/>
        </w:rPr>
        <w:t>tool RW_24_2025</w:t>
      </w:r>
      <w:r>
        <w:t xml:space="preserve"> a partire dalle informazioni presenti nei fogli “Dati PM”, “L” e “M”</w:t>
      </w:r>
      <w:r w:rsidR="00226CF5">
        <w:t xml:space="preserve"> di cui abbiamo già parlato nel precedente </w:t>
      </w:r>
      <w:proofErr w:type="spellStart"/>
      <w:r w:rsidR="00226CF5">
        <w:t>aricolo</w:t>
      </w:r>
      <w:proofErr w:type="spellEnd"/>
      <w:r w:rsidR="00226CF5">
        <w:t>.</w:t>
      </w:r>
    </w:p>
    <w:p w14:paraId="25BD4059" w14:textId="77777777" w:rsidR="00A032A2" w:rsidRDefault="00A032A2" w:rsidP="00A032A2">
      <w:pPr>
        <w:keepNext/>
        <w:jc w:val="both"/>
      </w:pPr>
      <w:r w:rsidRPr="00A032A2">
        <w:rPr>
          <w:noProof/>
        </w:rPr>
        <w:drawing>
          <wp:inline distT="0" distB="0" distL="0" distR="0" wp14:anchorId="0F983054" wp14:editId="21AA5981">
            <wp:extent cx="6120130" cy="873125"/>
            <wp:effectExtent l="0" t="0" r="0" b="0"/>
            <wp:docPr id="2084110208"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873125"/>
                    </a:xfrm>
                    <a:prstGeom prst="rect">
                      <a:avLst/>
                    </a:prstGeom>
                    <a:noFill/>
                    <a:ln>
                      <a:noFill/>
                    </a:ln>
                  </pic:spPr>
                </pic:pic>
              </a:graphicData>
            </a:graphic>
          </wp:inline>
        </w:drawing>
      </w:r>
    </w:p>
    <w:p w14:paraId="4BD5E6FE" w14:textId="68404E96" w:rsidR="00A032A2" w:rsidRDefault="00A032A2" w:rsidP="00A032A2">
      <w:pPr>
        <w:pStyle w:val="Didascalia"/>
        <w:jc w:val="both"/>
      </w:pPr>
      <w:r>
        <w:t xml:space="preserve">Figura </w:t>
      </w:r>
      <w:fldSimple w:instr=" SEQ Figura \* ARABIC ">
        <w:r w:rsidR="00BE2D24">
          <w:rPr>
            <w:noProof/>
          </w:rPr>
          <w:t>11</w:t>
        </w:r>
      </w:fldSimple>
      <w:r>
        <w:t xml:space="preserve">: </w:t>
      </w:r>
      <w:r w:rsidR="00496B92">
        <w:t xml:space="preserve">Foglio </w:t>
      </w:r>
      <w:r>
        <w:t>Dati-PM</w:t>
      </w:r>
    </w:p>
    <w:p w14:paraId="3C33A539" w14:textId="1A2296BC" w:rsidR="00A032A2" w:rsidRDefault="00A032A2" w:rsidP="00A032A2">
      <w:pPr>
        <w:jc w:val="both"/>
      </w:pPr>
      <w:r w:rsidRPr="00A032A2">
        <w:t>Nel foglio “Dati PM”, i dati sono interamente alimentati dai fogli “L” e “M”, ad eccezione di alcune informazioni che l’utente deve indicare manualmente, come la natura non armonizzata dei titoli, la qualificazione della partecipazione e l’eventuale appartenenza a un OICR immobiliare estero.</w:t>
      </w:r>
    </w:p>
    <w:p w14:paraId="41C32A5C" w14:textId="77777777" w:rsidR="00A032A2" w:rsidRPr="00A032A2" w:rsidRDefault="00A032A2" w:rsidP="00A032A2">
      <w:pPr>
        <w:jc w:val="both"/>
        <w:rPr>
          <w:b/>
          <w:bCs/>
        </w:rPr>
      </w:pPr>
      <w:r w:rsidRPr="00A032A2">
        <w:rPr>
          <w:b/>
          <w:bCs/>
        </w:rPr>
        <w:t>Il quadro RM: redditi di capitale esteri non intermediati</w:t>
      </w:r>
    </w:p>
    <w:p w14:paraId="7314F0F6" w14:textId="77777777" w:rsidR="00A032A2" w:rsidRDefault="00A032A2" w:rsidP="00A032A2">
      <w:pPr>
        <w:jc w:val="both"/>
      </w:pPr>
      <w:r>
        <w:t xml:space="preserve">Nel precedente articolo avevamo già introdotto la logica del quadro RM, in particolare per quanto riguarda gli interessi su conti esteri non movimentati e i redditi di capitale percepiti senza l’intervento di un sostituto d’imposta residente. Il tool </w:t>
      </w:r>
      <w:r w:rsidRPr="006A0617">
        <w:rPr>
          <w:i/>
          <w:iCs/>
        </w:rPr>
        <w:t>RW_24_2025</w:t>
      </w:r>
      <w:r>
        <w:t xml:space="preserve"> ne riprende la struttura, compilando in automatico il quadro a partire dai dati inseriti nel foglio “Dati RM”.</w:t>
      </w:r>
    </w:p>
    <w:p w14:paraId="7EF91627" w14:textId="77777777" w:rsidR="00A032A2" w:rsidRDefault="00A032A2" w:rsidP="00A032A2">
      <w:pPr>
        <w:keepNext/>
        <w:jc w:val="both"/>
      </w:pPr>
      <w:r w:rsidRPr="00A032A2">
        <w:rPr>
          <w:noProof/>
        </w:rPr>
        <w:drawing>
          <wp:inline distT="0" distB="0" distL="0" distR="0" wp14:anchorId="3319CAB7" wp14:editId="0879718F">
            <wp:extent cx="6120130" cy="1343182"/>
            <wp:effectExtent l="0" t="0" r="0" b="9525"/>
            <wp:docPr id="70292800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0">
                      <a:extLst>
                        <a:ext uri="{28A0092B-C50C-407E-A947-70E740481C1C}">
                          <a14:useLocalDpi xmlns:a14="http://schemas.microsoft.com/office/drawing/2010/main" val="0"/>
                        </a:ext>
                      </a:extLst>
                    </a:blip>
                    <a:srcRect t="2162"/>
                    <a:stretch>
                      <a:fillRect/>
                    </a:stretch>
                  </pic:blipFill>
                  <pic:spPr bwMode="auto">
                    <a:xfrm>
                      <a:off x="0" y="0"/>
                      <a:ext cx="6120130" cy="1343182"/>
                    </a:xfrm>
                    <a:prstGeom prst="rect">
                      <a:avLst/>
                    </a:prstGeom>
                    <a:noFill/>
                    <a:ln>
                      <a:noFill/>
                    </a:ln>
                    <a:extLst>
                      <a:ext uri="{53640926-AAD7-44D8-BBD7-CCE9431645EC}">
                        <a14:shadowObscured xmlns:a14="http://schemas.microsoft.com/office/drawing/2010/main"/>
                      </a:ext>
                    </a:extLst>
                  </pic:spPr>
                </pic:pic>
              </a:graphicData>
            </a:graphic>
          </wp:inline>
        </w:drawing>
      </w:r>
    </w:p>
    <w:p w14:paraId="53F0D4C3" w14:textId="0613BB92" w:rsidR="00A032A2" w:rsidRDefault="00A032A2" w:rsidP="00A032A2">
      <w:pPr>
        <w:pStyle w:val="Didascalia"/>
        <w:jc w:val="both"/>
      </w:pPr>
      <w:r>
        <w:t xml:space="preserve">Figura </w:t>
      </w:r>
      <w:fldSimple w:instr=" SEQ Figura \* ARABIC ">
        <w:r w:rsidR="00BE2D24">
          <w:rPr>
            <w:noProof/>
          </w:rPr>
          <w:t>12</w:t>
        </w:r>
      </w:fldSimple>
      <w:r>
        <w:t xml:space="preserve">: </w:t>
      </w:r>
      <w:r w:rsidR="00496B92">
        <w:t xml:space="preserve">Quadro </w:t>
      </w:r>
      <w:r>
        <w:t>RM</w:t>
      </w:r>
    </w:p>
    <w:p w14:paraId="4CC9B7A6" w14:textId="77777777" w:rsidR="00A032A2" w:rsidRDefault="00A032A2" w:rsidP="00A032A2">
      <w:pPr>
        <w:jc w:val="both"/>
      </w:pPr>
      <w:r>
        <w:lastRenderedPageBreak/>
        <w:t>A differenza di RT, i redditi indicati in RM non derivano da operazioni di cessione, ma da rendimenti finanziari come interessi, dividendi o altri proventi da strumenti detenuti all’estero.</w:t>
      </w:r>
    </w:p>
    <w:p w14:paraId="507FC261" w14:textId="0D176E36" w:rsidR="00A032A2" w:rsidRDefault="00A032A2" w:rsidP="00A032A2">
      <w:pPr>
        <w:jc w:val="both"/>
      </w:pPr>
      <w:r>
        <w:t>Viene compilato a seconda di quanto inserito nel foglio DATI-ID</w:t>
      </w:r>
      <w:r w:rsidR="006A0617">
        <w:t xml:space="preserve"> già </w:t>
      </w:r>
      <w:r w:rsidR="00EB6A3D">
        <w:t xml:space="preserve">richiesto </w:t>
      </w:r>
      <w:r w:rsidR="006A0617">
        <w:t xml:space="preserve">per </w:t>
      </w:r>
      <w:r w:rsidR="00EB6A3D">
        <w:t>il quadro RW</w:t>
      </w:r>
    </w:p>
    <w:p w14:paraId="6325D7A6" w14:textId="77777777" w:rsidR="00A032A2" w:rsidRDefault="00A032A2" w:rsidP="00A032A2">
      <w:pPr>
        <w:keepNext/>
        <w:jc w:val="both"/>
      </w:pPr>
      <w:r w:rsidRPr="00A032A2">
        <w:rPr>
          <w:noProof/>
        </w:rPr>
        <w:drawing>
          <wp:inline distT="0" distB="0" distL="0" distR="0" wp14:anchorId="41608485" wp14:editId="064A0AA7">
            <wp:extent cx="6120130" cy="358295"/>
            <wp:effectExtent l="0" t="0" r="0" b="3810"/>
            <wp:docPr id="1657573073"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1">
                      <a:extLst>
                        <a:ext uri="{28A0092B-C50C-407E-A947-70E740481C1C}">
                          <a14:useLocalDpi xmlns:a14="http://schemas.microsoft.com/office/drawing/2010/main" val="0"/>
                        </a:ext>
                      </a:extLst>
                    </a:blip>
                    <a:srcRect b="54716"/>
                    <a:stretch>
                      <a:fillRect/>
                    </a:stretch>
                  </pic:blipFill>
                  <pic:spPr bwMode="auto">
                    <a:xfrm>
                      <a:off x="0" y="0"/>
                      <a:ext cx="6120130" cy="358295"/>
                    </a:xfrm>
                    <a:prstGeom prst="rect">
                      <a:avLst/>
                    </a:prstGeom>
                    <a:noFill/>
                    <a:ln>
                      <a:noFill/>
                    </a:ln>
                    <a:extLst>
                      <a:ext uri="{53640926-AAD7-44D8-BBD7-CCE9431645EC}">
                        <a14:shadowObscured xmlns:a14="http://schemas.microsoft.com/office/drawing/2010/main"/>
                      </a:ext>
                    </a:extLst>
                  </pic:spPr>
                </pic:pic>
              </a:graphicData>
            </a:graphic>
          </wp:inline>
        </w:drawing>
      </w:r>
    </w:p>
    <w:p w14:paraId="5930F56E" w14:textId="24F32635" w:rsidR="00A032A2" w:rsidRDefault="00A032A2" w:rsidP="00A032A2">
      <w:pPr>
        <w:pStyle w:val="Didascalia"/>
        <w:jc w:val="both"/>
      </w:pPr>
      <w:r>
        <w:t xml:space="preserve">Figura </w:t>
      </w:r>
      <w:fldSimple w:instr=" SEQ Figura \* ARABIC ">
        <w:r w:rsidR="00BE2D24">
          <w:rPr>
            <w:noProof/>
          </w:rPr>
          <w:t>13</w:t>
        </w:r>
      </w:fldSimple>
      <w:r>
        <w:t xml:space="preserve">: </w:t>
      </w:r>
      <w:r w:rsidR="00496B92">
        <w:t xml:space="preserve">Foglio </w:t>
      </w:r>
      <w:r>
        <w:t>Dati-ID</w:t>
      </w:r>
      <w:r w:rsidR="009B4AA6">
        <w:t xml:space="preserve"> (prima parte)</w:t>
      </w:r>
    </w:p>
    <w:p w14:paraId="02FEDA8C" w14:textId="741D010A" w:rsidR="009B4AA6" w:rsidRPr="009B4AA6" w:rsidRDefault="009B4AA6" w:rsidP="009B4AA6">
      <w:r>
        <w:t xml:space="preserve">Le informazioni riportate nel foglio risultano utili anche al fine della compilazione </w:t>
      </w:r>
      <w:r w:rsidR="00CF3A86">
        <w:t>del quadro RL.</w:t>
      </w:r>
    </w:p>
    <w:p w14:paraId="7CFE95E2" w14:textId="77777777" w:rsidR="00A032A2" w:rsidRDefault="00A032A2" w:rsidP="00A032A2">
      <w:pPr>
        <w:keepNext/>
      </w:pPr>
      <w:r w:rsidRPr="00A032A2">
        <w:rPr>
          <w:noProof/>
        </w:rPr>
        <w:drawing>
          <wp:inline distT="0" distB="0" distL="0" distR="0" wp14:anchorId="0EE5B1AA" wp14:editId="291E6CFE">
            <wp:extent cx="6120130" cy="447870"/>
            <wp:effectExtent l="0" t="0" r="0" b="9525"/>
            <wp:docPr id="910553064"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2">
                      <a:extLst>
                        <a:ext uri="{28A0092B-C50C-407E-A947-70E740481C1C}">
                          <a14:useLocalDpi xmlns:a14="http://schemas.microsoft.com/office/drawing/2010/main" val="0"/>
                        </a:ext>
                      </a:extLst>
                    </a:blip>
                    <a:srcRect b="52791"/>
                    <a:stretch>
                      <a:fillRect/>
                    </a:stretch>
                  </pic:blipFill>
                  <pic:spPr bwMode="auto">
                    <a:xfrm>
                      <a:off x="0" y="0"/>
                      <a:ext cx="6120130" cy="447870"/>
                    </a:xfrm>
                    <a:prstGeom prst="rect">
                      <a:avLst/>
                    </a:prstGeom>
                    <a:noFill/>
                    <a:ln>
                      <a:noFill/>
                    </a:ln>
                    <a:extLst>
                      <a:ext uri="{53640926-AAD7-44D8-BBD7-CCE9431645EC}">
                        <a14:shadowObscured xmlns:a14="http://schemas.microsoft.com/office/drawing/2010/main"/>
                      </a:ext>
                    </a:extLst>
                  </pic:spPr>
                </pic:pic>
              </a:graphicData>
            </a:graphic>
          </wp:inline>
        </w:drawing>
      </w:r>
    </w:p>
    <w:p w14:paraId="7B15BB33" w14:textId="23E7BD54" w:rsidR="00A032A2" w:rsidRPr="00A032A2" w:rsidRDefault="00A032A2" w:rsidP="00A032A2">
      <w:pPr>
        <w:pStyle w:val="Didascalia"/>
      </w:pPr>
      <w:r>
        <w:t xml:space="preserve">Figura </w:t>
      </w:r>
      <w:fldSimple w:instr=" SEQ Figura \* ARABIC ">
        <w:r w:rsidR="00BE2D24">
          <w:rPr>
            <w:noProof/>
          </w:rPr>
          <w:t>14</w:t>
        </w:r>
      </w:fldSimple>
      <w:r>
        <w:t xml:space="preserve">: </w:t>
      </w:r>
      <w:r w:rsidR="00496B92">
        <w:t xml:space="preserve">Foglio </w:t>
      </w:r>
      <w:r>
        <w:t xml:space="preserve">Dati-ID </w:t>
      </w:r>
      <w:r w:rsidR="009B4AA6">
        <w:t>(seconda parte)</w:t>
      </w:r>
    </w:p>
    <w:p w14:paraId="0533C235" w14:textId="77777777" w:rsidR="009B4081" w:rsidRPr="009B4081" w:rsidRDefault="009B4081" w:rsidP="00CF3A86">
      <w:pPr>
        <w:pStyle w:val="Titolo2"/>
      </w:pPr>
      <w:r w:rsidRPr="009B4081">
        <w:t>Quadro RL</w:t>
      </w:r>
    </w:p>
    <w:p w14:paraId="608115EF" w14:textId="18B7B66B" w:rsidR="00BE2D24" w:rsidRDefault="00CF3A86" w:rsidP="009B4081">
      <w:pPr>
        <w:jc w:val="both"/>
      </w:pPr>
      <w:r>
        <w:t>Per quanto concerne l</w:t>
      </w:r>
      <w:r w:rsidR="00BE2452">
        <w:t xml:space="preserve">e </w:t>
      </w:r>
      <w:r>
        <w:t xml:space="preserve">attività </w:t>
      </w:r>
      <w:r w:rsidR="00BE2452">
        <w:t>estere, n</w:t>
      </w:r>
      <w:r w:rsidR="009B4081">
        <w:t xml:space="preserve">el quadro RL confluiscono due tipologie principali di redditi: da un lato i redditi di capitale soggetti a imposizione marginale IRPEF, dall’altro i redditi diversi, in particolare quelli derivanti da strumenti non armonizzati e da OICR immobiliari esteri. Ai fini della compilazione automatica nel </w:t>
      </w:r>
      <w:r w:rsidR="009B4081" w:rsidRPr="00BE2452">
        <w:rPr>
          <w:i/>
          <w:iCs/>
        </w:rPr>
        <w:t>tool RW_24_2025</w:t>
      </w:r>
      <w:r w:rsidR="009B4081">
        <w:t xml:space="preserve">, il flusso informativo è gestito attraverso due distinti fogli: “Dati ID” e “Dati RD”. </w:t>
      </w:r>
    </w:p>
    <w:p w14:paraId="2DAE1FDB" w14:textId="2FF54802" w:rsidR="009B4081" w:rsidRDefault="009B4081" w:rsidP="009B4081">
      <w:pPr>
        <w:jc w:val="both"/>
      </w:pPr>
      <w:r>
        <w:t xml:space="preserve">Il primo elabora i redditi di capitale e i redditi diversi relativi a strumenti finanziari armonizzati, confluenti nei righi RL1, RL2 e RL3. Il secondo, invece, è riservato a strumenti finanziari esteri non armonizzati e OICR immobiliari esteri, i cui proventi confluiscono nei righi RL12 </w:t>
      </w:r>
      <w:r w:rsidR="00496B92">
        <w:t xml:space="preserve">- </w:t>
      </w:r>
      <w:r>
        <w:t>RL20.</w:t>
      </w:r>
    </w:p>
    <w:p w14:paraId="3E73B276" w14:textId="77777777" w:rsidR="006E62E8" w:rsidRDefault="006E62E8" w:rsidP="006E62E8">
      <w:pPr>
        <w:keepNext/>
        <w:jc w:val="both"/>
      </w:pPr>
      <w:r>
        <w:t>Per i redditi di capitale, nella sezione I-A del quadro RL (righi RL1 e RL2) del modello Redditi PF, devono essere indicati gli utili e i proventi equiparati che, pur rientrando tra i redditi di capitale, non sono stati assoggettati a ritenuta alla fonte a titolo d’imposta o ad imposta sostitutiva e che, pertanto, concorrono alla formazione del reddito complessivo IRPEF. Si tratta, ad esempio, di dividendi esteri percepiti al lordo delle imposte pagate all’estero o di utili provenienti da strumenti finanziari detenuti in Paesi a fiscalità privilegiata, per i quali il contribuente abbia ottenuto esito favorevole all’interpello per l’esimente.</w:t>
      </w:r>
    </w:p>
    <w:p w14:paraId="7C757463" w14:textId="77777777" w:rsidR="00214664" w:rsidRDefault="006E62E8" w:rsidP="006E62E8">
      <w:pPr>
        <w:keepNext/>
        <w:jc w:val="both"/>
      </w:pPr>
      <w:r>
        <w:t xml:space="preserve">Per quanto riguarda i righi da RL12 a RL20, questi sono destinati a redditi diversi di natura finanziaria, come plusvalenze e altri proventi derivanti dalla cessione di strumenti finanziari non armonizzati o da fondi esteri immobiliari. La compilazione avviene indicando nella colonna 1 il codice identificativo della tipologia di reddito, nella colonna 2 l’ammontare del reddito percepito e nella colonna 3 le eventuali ritenute subite. Esempi tipici sono le plusvalenze </w:t>
      </w:r>
      <w:r>
        <w:lastRenderedPageBreak/>
        <w:t>derivanti dalla cessione di OICR non conformi alla normativa europea o da strumenti finanziari esteri non negoziati in mercati regolamentati.</w:t>
      </w:r>
    </w:p>
    <w:p w14:paraId="06FE4E13" w14:textId="35439344" w:rsidR="00BE2D24" w:rsidRDefault="00BE2D24" w:rsidP="006E62E8">
      <w:pPr>
        <w:keepNext/>
        <w:jc w:val="both"/>
      </w:pPr>
      <w:r w:rsidRPr="00BE2D24">
        <w:rPr>
          <w:noProof/>
        </w:rPr>
        <w:drawing>
          <wp:inline distT="0" distB="0" distL="0" distR="0" wp14:anchorId="2EB90A2D" wp14:editId="0BC83CF6">
            <wp:extent cx="6120130" cy="549275"/>
            <wp:effectExtent l="0" t="0" r="0" b="3175"/>
            <wp:docPr id="13702931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549275"/>
                    </a:xfrm>
                    <a:prstGeom prst="rect">
                      <a:avLst/>
                    </a:prstGeom>
                    <a:noFill/>
                    <a:ln>
                      <a:noFill/>
                    </a:ln>
                  </pic:spPr>
                </pic:pic>
              </a:graphicData>
            </a:graphic>
          </wp:inline>
        </w:drawing>
      </w:r>
    </w:p>
    <w:p w14:paraId="6505E898" w14:textId="05348D6A" w:rsidR="00BE2D24" w:rsidRDefault="00BE2D24" w:rsidP="00BE2D24">
      <w:pPr>
        <w:pStyle w:val="Didascalia"/>
        <w:jc w:val="both"/>
      </w:pPr>
      <w:r>
        <w:t xml:space="preserve">Figura </w:t>
      </w:r>
      <w:fldSimple w:instr=" SEQ Figura \* ARABIC ">
        <w:r>
          <w:rPr>
            <w:noProof/>
          </w:rPr>
          <w:t>15</w:t>
        </w:r>
      </w:fldSimple>
      <w:r>
        <w:t xml:space="preserve">: </w:t>
      </w:r>
      <w:r w:rsidR="00496B92">
        <w:t xml:space="preserve">Foglio </w:t>
      </w:r>
      <w:r>
        <w:t>Dati RD</w:t>
      </w:r>
    </w:p>
    <w:p w14:paraId="5B02B4F5" w14:textId="3E383739" w:rsidR="002A76F4" w:rsidRPr="002A76F4" w:rsidRDefault="002A76F4" w:rsidP="002A76F4">
      <w:pPr>
        <w:jc w:val="both"/>
      </w:pPr>
      <w:r w:rsidRPr="002A76F4">
        <w:t xml:space="preserve">La corretta dichiarazione dei beni e redditi detenuti all'estero non è solo un obbligo fiscale, ma rappresenta una vera e propria opportunità di gestione consapevole e strategica del proprio patrimonio internazionale. Utilizzando strumenti </w:t>
      </w:r>
      <w:r>
        <w:t xml:space="preserve">di supporto, </w:t>
      </w:r>
      <w:r w:rsidRPr="002A76F4">
        <w:t xml:space="preserve">come il tool </w:t>
      </w:r>
      <w:r w:rsidRPr="002A76F4">
        <w:rPr>
          <w:i/>
          <w:iCs/>
        </w:rPr>
        <w:t>RW_24_2025</w:t>
      </w:r>
      <w:r w:rsidRPr="002A76F4">
        <w:t xml:space="preserve">, il contribuente può semplificare notevolmente le procedure dichiarative, ridurre al minimo il rischio di errori e ottimizzare il carico fiscale. Ma soprattutto, una gestione accurata e trasparente dei beni esteri permette di anticipare e prevenire eventuali problematiche con l'Amministrazione finanziaria, trasformando un adempimento obbligatorio in un vantaggio competitivo. In definitiva, chi è ben </w:t>
      </w:r>
      <w:r w:rsidRPr="002A76F4">
        <w:rPr>
          <w:b/>
          <w:bCs/>
        </w:rPr>
        <w:t xml:space="preserve">informato </w:t>
      </w:r>
      <w:r w:rsidRPr="002A76F4">
        <w:t xml:space="preserve">e ben </w:t>
      </w:r>
      <w:r w:rsidRPr="002A76F4">
        <w:rPr>
          <w:b/>
          <w:bCs/>
        </w:rPr>
        <w:t>organizzato</w:t>
      </w:r>
      <w:r w:rsidRPr="002A76F4">
        <w:t xml:space="preserve"> non solo rispetta le norme, ma gestisce in modo più </w:t>
      </w:r>
      <w:r w:rsidRPr="002A76F4">
        <w:rPr>
          <w:b/>
          <w:bCs/>
        </w:rPr>
        <w:t>efficace e vantaggioso</w:t>
      </w:r>
      <w:r w:rsidRPr="002A76F4">
        <w:t xml:space="preserve"> il proprio patrimonio globale.</w:t>
      </w:r>
    </w:p>
    <w:p w14:paraId="5063F42B" w14:textId="77777777" w:rsidR="002A76F4" w:rsidRPr="002A76F4" w:rsidRDefault="002A76F4" w:rsidP="002A76F4">
      <w:pPr>
        <w:jc w:val="both"/>
      </w:pPr>
    </w:p>
    <w:sectPr w:rsidR="002A76F4" w:rsidRPr="002A76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33C"/>
    <w:multiLevelType w:val="multilevel"/>
    <w:tmpl w:val="408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A3D"/>
    <w:multiLevelType w:val="hybridMultilevel"/>
    <w:tmpl w:val="B3F0B2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641858"/>
    <w:multiLevelType w:val="multilevel"/>
    <w:tmpl w:val="39AC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702AF"/>
    <w:multiLevelType w:val="multilevel"/>
    <w:tmpl w:val="5192B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11E1F"/>
    <w:multiLevelType w:val="multilevel"/>
    <w:tmpl w:val="7446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97E10"/>
    <w:multiLevelType w:val="hybridMultilevel"/>
    <w:tmpl w:val="09E4C7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C07700A"/>
    <w:multiLevelType w:val="hybridMultilevel"/>
    <w:tmpl w:val="19B452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12678E5"/>
    <w:multiLevelType w:val="multilevel"/>
    <w:tmpl w:val="78BA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C72395"/>
    <w:multiLevelType w:val="multilevel"/>
    <w:tmpl w:val="8C4C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F74CE"/>
    <w:multiLevelType w:val="multilevel"/>
    <w:tmpl w:val="AEE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24051"/>
    <w:multiLevelType w:val="multilevel"/>
    <w:tmpl w:val="534AD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323D4"/>
    <w:multiLevelType w:val="multilevel"/>
    <w:tmpl w:val="6E3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55232"/>
    <w:multiLevelType w:val="multilevel"/>
    <w:tmpl w:val="1DAE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33DC0"/>
    <w:multiLevelType w:val="multilevel"/>
    <w:tmpl w:val="4824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94DAF"/>
    <w:multiLevelType w:val="multilevel"/>
    <w:tmpl w:val="E946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53F6A"/>
    <w:multiLevelType w:val="multilevel"/>
    <w:tmpl w:val="317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C234E"/>
    <w:multiLevelType w:val="multilevel"/>
    <w:tmpl w:val="207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F1859"/>
    <w:multiLevelType w:val="hybridMultilevel"/>
    <w:tmpl w:val="94D8B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0416DF5"/>
    <w:multiLevelType w:val="multilevel"/>
    <w:tmpl w:val="61F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BE483D"/>
    <w:multiLevelType w:val="multilevel"/>
    <w:tmpl w:val="42C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F4017"/>
    <w:multiLevelType w:val="hybridMultilevel"/>
    <w:tmpl w:val="D8E2CE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67559BA"/>
    <w:multiLevelType w:val="multilevel"/>
    <w:tmpl w:val="20F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0B286B"/>
    <w:multiLevelType w:val="hybridMultilevel"/>
    <w:tmpl w:val="95B00D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83A4AB3"/>
    <w:multiLevelType w:val="multilevel"/>
    <w:tmpl w:val="0CBE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E2FBA"/>
    <w:multiLevelType w:val="multilevel"/>
    <w:tmpl w:val="6CC8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26E87"/>
    <w:multiLevelType w:val="hybridMultilevel"/>
    <w:tmpl w:val="0D525A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EAD2AED"/>
    <w:multiLevelType w:val="multilevel"/>
    <w:tmpl w:val="26AA9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D2404"/>
    <w:multiLevelType w:val="multilevel"/>
    <w:tmpl w:val="E1C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030E11"/>
    <w:multiLevelType w:val="multilevel"/>
    <w:tmpl w:val="90B2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387838"/>
    <w:multiLevelType w:val="multilevel"/>
    <w:tmpl w:val="7C20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EC26D5"/>
    <w:multiLevelType w:val="multilevel"/>
    <w:tmpl w:val="F6CC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008385">
    <w:abstractNumId w:val="22"/>
  </w:num>
  <w:num w:numId="2" w16cid:durableId="1142387729">
    <w:abstractNumId w:val="1"/>
  </w:num>
  <w:num w:numId="3" w16cid:durableId="1475758470">
    <w:abstractNumId w:val="20"/>
  </w:num>
  <w:num w:numId="4" w16cid:durableId="1461265023">
    <w:abstractNumId w:val="6"/>
  </w:num>
  <w:num w:numId="5" w16cid:durableId="1847553931">
    <w:abstractNumId w:val="25"/>
  </w:num>
  <w:num w:numId="6" w16cid:durableId="2085644105">
    <w:abstractNumId w:val="5"/>
  </w:num>
  <w:num w:numId="7" w16cid:durableId="32660401">
    <w:abstractNumId w:val="16"/>
  </w:num>
  <w:num w:numId="8" w16cid:durableId="1869952406">
    <w:abstractNumId w:val="4"/>
  </w:num>
  <w:num w:numId="9" w16cid:durableId="2066563647">
    <w:abstractNumId w:val="2"/>
  </w:num>
  <w:num w:numId="10" w16cid:durableId="2086953157">
    <w:abstractNumId w:val="13"/>
  </w:num>
  <w:num w:numId="11" w16cid:durableId="1476530760">
    <w:abstractNumId w:val="15"/>
  </w:num>
  <w:num w:numId="12" w16cid:durableId="894512911">
    <w:abstractNumId w:val="30"/>
  </w:num>
  <w:num w:numId="13" w16cid:durableId="1231230922">
    <w:abstractNumId w:val="8"/>
  </w:num>
  <w:num w:numId="14" w16cid:durableId="1980962946">
    <w:abstractNumId w:val="26"/>
  </w:num>
  <w:num w:numId="15" w16cid:durableId="1458261843">
    <w:abstractNumId w:val="19"/>
  </w:num>
  <w:num w:numId="16" w16cid:durableId="103353879">
    <w:abstractNumId w:val="24"/>
  </w:num>
  <w:num w:numId="17" w16cid:durableId="974414113">
    <w:abstractNumId w:val="12"/>
  </w:num>
  <w:num w:numId="18" w16cid:durableId="910693388">
    <w:abstractNumId w:val="23"/>
  </w:num>
  <w:num w:numId="19" w16cid:durableId="22562811">
    <w:abstractNumId w:val="11"/>
  </w:num>
  <w:num w:numId="20" w16cid:durableId="1785078001">
    <w:abstractNumId w:val="28"/>
  </w:num>
  <w:num w:numId="21" w16cid:durableId="1674382842">
    <w:abstractNumId w:val="17"/>
  </w:num>
  <w:num w:numId="22" w16cid:durableId="283536186">
    <w:abstractNumId w:val="0"/>
  </w:num>
  <w:num w:numId="23" w16cid:durableId="699203604">
    <w:abstractNumId w:val="14"/>
  </w:num>
  <w:num w:numId="24" w16cid:durableId="1261985700">
    <w:abstractNumId w:val="9"/>
  </w:num>
  <w:num w:numId="25" w16cid:durableId="178156418">
    <w:abstractNumId w:val="10"/>
  </w:num>
  <w:num w:numId="26" w16cid:durableId="1886216871">
    <w:abstractNumId w:val="18"/>
  </w:num>
  <w:num w:numId="27" w16cid:durableId="1627731741">
    <w:abstractNumId w:val="21"/>
  </w:num>
  <w:num w:numId="28" w16cid:durableId="1819611916">
    <w:abstractNumId w:val="7"/>
  </w:num>
  <w:num w:numId="29" w16cid:durableId="1910261740">
    <w:abstractNumId w:val="29"/>
  </w:num>
  <w:num w:numId="30" w16cid:durableId="1135677781">
    <w:abstractNumId w:val="3"/>
  </w:num>
  <w:num w:numId="31" w16cid:durableId="16049961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55"/>
    <w:rsid w:val="00005272"/>
    <w:rsid w:val="00014347"/>
    <w:rsid w:val="00021E3E"/>
    <w:rsid w:val="00024366"/>
    <w:rsid w:val="00025256"/>
    <w:rsid w:val="00025A97"/>
    <w:rsid w:val="000527CF"/>
    <w:rsid w:val="0007044C"/>
    <w:rsid w:val="00073A05"/>
    <w:rsid w:val="000839A7"/>
    <w:rsid w:val="00091820"/>
    <w:rsid w:val="00093DE5"/>
    <w:rsid w:val="000C0615"/>
    <w:rsid w:val="000C2C02"/>
    <w:rsid w:val="000D0E9E"/>
    <w:rsid w:val="000E4269"/>
    <w:rsid w:val="000E4DB4"/>
    <w:rsid w:val="000E5198"/>
    <w:rsid w:val="000E5FF1"/>
    <w:rsid w:val="000E6FB7"/>
    <w:rsid w:val="000F1323"/>
    <w:rsid w:val="00101F4D"/>
    <w:rsid w:val="00116CA5"/>
    <w:rsid w:val="00123E21"/>
    <w:rsid w:val="00124E20"/>
    <w:rsid w:val="0013504F"/>
    <w:rsid w:val="00136162"/>
    <w:rsid w:val="00136FD8"/>
    <w:rsid w:val="00143B42"/>
    <w:rsid w:val="0014561D"/>
    <w:rsid w:val="00153573"/>
    <w:rsid w:val="00160492"/>
    <w:rsid w:val="00166979"/>
    <w:rsid w:val="001874E8"/>
    <w:rsid w:val="00193D93"/>
    <w:rsid w:val="001B5C39"/>
    <w:rsid w:val="001E28B6"/>
    <w:rsid w:val="001E4627"/>
    <w:rsid w:val="001F191B"/>
    <w:rsid w:val="001F7B85"/>
    <w:rsid w:val="00201B88"/>
    <w:rsid w:val="0020274D"/>
    <w:rsid w:val="00210D47"/>
    <w:rsid w:val="00214664"/>
    <w:rsid w:val="00226CF5"/>
    <w:rsid w:val="00233EDA"/>
    <w:rsid w:val="00236015"/>
    <w:rsid w:val="00237864"/>
    <w:rsid w:val="002534C5"/>
    <w:rsid w:val="00261E87"/>
    <w:rsid w:val="00274471"/>
    <w:rsid w:val="002833A6"/>
    <w:rsid w:val="002937B0"/>
    <w:rsid w:val="002A76F4"/>
    <w:rsid w:val="002B10FC"/>
    <w:rsid w:val="002C7DD6"/>
    <w:rsid w:val="002D72CF"/>
    <w:rsid w:val="002E3861"/>
    <w:rsid w:val="002E6A3A"/>
    <w:rsid w:val="002E705A"/>
    <w:rsid w:val="002E7C26"/>
    <w:rsid w:val="002F637F"/>
    <w:rsid w:val="002F6667"/>
    <w:rsid w:val="00304F10"/>
    <w:rsid w:val="003074D5"/>
    <w:rsid w:val="003176E5"/>
    <w:rsid w:val="00317954"/>
    <w:rsid w:val="00320282"/>
    <w:rsid w:val="003255C0"/>
    <w:rsid w:val="003359E5"/>
    <w:rsid w:val="00336404"/>
    <w:rsid w:val="0034453A"/>
    <w:rsid w:val="00345D19"/>
    <w:rsid w:val="00364939"/>
    <w:rsid w:val="00373C14"/>
    <w:rsid w:val="003815FA"/>
    <w:rsid w:val="00384AF1"/>
    <w:rsid w:val="0039105D"/>
    <w:rsid w:val="003A692B"/>
    <w:rsid w:val="003B4C83"/>
    <w:rsid w:val="003B646D"/>
    <w:rsid w:val="003C1042"/>
    <w:rsid w:val="003C15E5"/>
    <w:rsid w:val="003E1219"/>
    <w:rsid w:val="003E2044"/>
    <w:rsid w:val="003E20E8"/>
    <w:rsid w:val="003E477D"/>
    <w:rsid w:val="003E7838"/>
    <w:rsid w:val="004125E3"/>
    <w:rsid w:val="00437CEF"/>
    <w:rsid w:val="00451F4F"/>
    <w:rsid w:val="00466B5A"/>
    <w:rsid w:val="00484408"/>
    <w:rsid w:val="00495CB3"/>
    <w:rsid w:val="00496B92"/>
    <w:rsid w:val="004A4259"/>
    <w:rsid w:val="004A4DCF"/>
    <w:rsid w:val="004B49E1"/>
    <w:rsid w:val="004B5B99"/>
    <w:rsid w:val="004B7208"/>
    <w:rsid w:val="004D35B3"/>
    <w:rsid w:val="00501AEA"/>
    <w:rsid w:val="00506353"/>
    <w:rsid w:val="005112F8"/>
    <w:rsid w:val="00531540"/>
    <w:rsid w:val="00533F7C"/>
    <w:rsid w:val="005400C3"/>
    <w:rsid w:val="00542C62"/>
    <w:rsid w:val="00556BF5"/>
    <w:rsid w:val="0058277B"/>
    <w:rsid w:val="005848DE"/>
    <w:rsid w:val="005A6E8B"/>
    <w:rsid w:val="005A7A88"/>
    <w:rsid w:val="005C3370"/>
    <w:rsid w:val="005C45E6"/>
    <w:rsid w:val="005C4770"/>
    <w:rsid w:val="005C7CE1"/>
    <w:rsid w:val="005D12D8"/>
    <w:rsid w:val="005D1A80"/>
    <w:rsid w:val="005E3E35"/>
    <w:rsid w:val="0060349B"/>
    <w:rsid w:val="006158D4"/>
    <w:rsid w:val="00627AE7"/>
    <w:rsid w:val="00641BBA"/>
    <w:rsid w:val="00645B41"/>
    <w:rsid w:val="00653841"/>
    <w:rsid w:val="00654992"/>
    <w:rsid w:val="00663D50"/>
    <w:rsid w:val="00667BE7"/>
    <w:rsid w:val="0067129F"/>
    <w:rsid w:val="006744D4"/>
    <w:rsid w:val="00685CAC"/>
    <w:rsid w:val="00693AA4"/>
    <w:rsid w:val="006A0617"/>
    <w:rsid w:val="006A2EF5"/>
    <w:rsid w:val="006C142C"/>
    <w:rsid w:val="006C148A"/>
    <w:rsid w:val="006D66F6"/>
    <w:rsid w:val="006D708B"/>
    <w:rsid w:val="006E0142"/>
    <w:rsid w:val="006E57EA"/>
    <w:rsid w:val="006E62E8"/>
    <w:rsid w:val="006F1867"/>
    <w:rsid w:val="00716E01"/>
    <w:rsid w:val="007351E9"/>
    <w:rsid w:val="007458E4"/>
    <w:rsid w:val="00764791"/>
    <w:rsid w:val="00765E43"/>
    <w:rsid w:val="00771047"/>
    <w:rsid w:val="00772003"/>
    <w:rsid w:val="0079515B"/>
    <w:rsid w:val="007D5278"/>
    <w:rsid w:val="007E2F45"/>
    <w:rsid w:val="007E2FCA"/>
    <w:rsid w:val="007E5654"/>
    <w:rsid w:val="007E7D48"/>
    <w:rsid w:val="007F6CBF"/>
    <w:rsid w:val="008064C7"/>
    <w:rsid w:val="00811BE9"/>
    <w:rsid w:val="00841E6F"/>
    <w:rsid w:val="0086778C"/>
    <w:rsid w:val="008757BA"/>
    <w:rsid w:val="008B252D"/>
    <w:rsid w:val="008C5E32"/>
    <w:rsid w:val="008D035E"/>
    <w:rsid w:val="008D0610"/>
    <w:rsid w:val="008D5116"/>
    <w:rsid w:val="008E0B3C"/>
    <w:rsid w:val="008F326F"/>
    <w:rsid w:val="008F3A85"/>
    <w:rsid w:val="009035C4"/>
    <w:rsid w:val="00906ADA"/>
    <w:rsid w:val="00907E1C"/>
    <w:rsid w:val="00923056"/>
    <w:rsid w:val="00927462"/>
    <w:rsid w:val="00962555"/>
    <w:rsid w:val="009639B5"/>
    <w:rsid w:val="00965696"/>
    <w:rsid w:val="009731A2"/>
    <w:rsid w:val="00973E69"/>
    <w:rsid w:val="00974A5C"/>
    <w:rsid w:val="00980CA3"/>
    <w:rsid w:val="00980D42"/>
    <w:rsid w:val="009863B5"/>
    <w:rsid w:val="009B4048"/>
    <w:rsid w:val="009B4081"/>
    <w:rsid w:val="009B4AA6"/>
    <w:rsid w:val="009C6DC2"/>
    <w:rsid w:val="009C7667"/>
    <w:rsid w:val="009D0B29"/>
    <w:rsid w:val="009D3944"/>
    <w:rsid w:val="009E3F9D"/>
    <w:rsid w:val="009F307E"/>
    <w:rsid w:val="009F421D"/>
    <w:rsid w:val="009F5FAE"/>
    <w:rsid w:val="00A02E27"/>
    <w:rsid w:val="00A032A2"/>
    <w:rsid w:val="00A05369"/>
    <w:rsid w:val="00A12D96"/>
    <w:rsid w:val="00A17AD9"/>
    <w:rsid w:val="00A226EC"/>
    <w:rsid w:val="00A24F2B"/>
    <w:rsid w:val="00A26435"/>
    <w:rsid w:val="00A3335D"/>
    <w:rsid w:val="00A36A80"/>
    <w:rsid w:val="00A42A6E"/>
    <w:rsid w:val="00A42F6C"/>
    <w:rsid w:val="00A50713"/>
    <w:rsid w:val="00A61F1C"/>
    <w:rsid w:val="00A642BF"/>
    <w:rsid w:val="00A644D6"/>
    <w:rsid w:val="00A654AB"/>
    <w:rsid w:val="00A75CDD"/>
    <w:rsid w:val="00A93C40"/>
    <w:rsid w:val="00AA497A"/>
    <w:rsid w:val="00AA532D"/>
    <w:rsid w:val="00AA674D"/>
    <w:rsid w:val="00AB0B6B"/>
    <w:rsid w:val="00AB6A25"/>
    <w:rsid w:val="00AB7A53"/>
    <w:rsid w:val="00AC053D"/>
    <w:rsid w:val="00AC27B0"/>
    <w:rsid w:val="00AC72C9"/>
    <w:rsid w:val="00AC7DDE"/>
    <w:rsid w:val="00AF1F0D"/>
    <w:rsid w:val="00AF306A"/>
    <w:rsid w:val="00B02C5C"/>
    <w:rsid w:val="00B034E2"/>
    <w:rsid w:val="00B1725C"/>
    <w:rsid w:val="00B20973"/>
    <w:rsid w:val="00B26787"/>
    <w:rsid w:val="00B31265"/>
    <w:rsid w:val="00B41C7C"/>
    <w:rsid w:val="00B64C64"/>
    <w:rsid w:val="00B8244B"/>
    <w:rsid w:val="00B93A98"/>
    <w:rsid w:val="00BB1E42"/>
    <w:rsid w:val="00BC2AF0"/>
    <w:rsid w:val="00BD34F9"/>
    <w:rsid w:val="00BD67DF"/>
    <w:rsid w:val="00BE2452"/>
    <w:rsid w:val="00BE290E"/>
    <w:rsid w:val="00BE2D24"/>
    <w:rsid w:val="00BE43F2"/>
    <w:rsid w:val="00BE4818"/>
    <w:rsid w:val="00BF0C4E"/>
    <w:rsid w:val="00BF4E36"/>
    <w:rsid w:val="00C16984"/>
    <w:rsid w:val="00C2595D"/>
    <w:rsid w:val="00C434B5"/>
    <w:rsid w:val="00C75795"/>
    <w:rsid w:val="00C770A4"/>
    <w:rsid w:val="00C91F7C"/>
    <w:rsid w:val="00CA19E9"/>
    <w:rsid w:val="00CB6526"/>
    <w:rsid w:val="00CB7AC1"/>
    <w:rsid w:val="00CC2207"/>
    <w:rsid w:val="00CF3A86"/>
    <w:rsid w:val="00D023AA"/>
    <w:rsid w:val="00D06FC9"/>
    <w:rsid w:val="00D212D0"/>
    <w:rsid w:val="00D3105C"/>
    <w:rsid w:val="00D346BF"/>
    <w:rsid w:val="00D40A65"/>
    <w:rsid w:val="00D81230"/>
    <w:rsid w:val="00DA072F"/>
    <w:rsid w:val="00DB5700"/>
    <w:rsid w:val="00DE220A"/>
    <w:rsid w:val="00DF2FC7"/>
    <w:rsid w:val="00E147B4"/>
    <w:rsid w:val="00E24419"/>
    <w:rsid w:val="00E334C2"/>
    <w:rsid w:val="00E41805"/>
    <w:rsid w:val="00E65C81"/>
    <w:rsid w:val="00E737E1"/>
    <w:rsid w:val="00E81EFE"/>
    <w:rsid w:val="00E82FD5"/>
    <w:rsid w:val="00E86C70"/>
    <w:rsid w:val="00E94474"/>
    <w:rsid w:val="00EB40B7"/>
    <w:rsid w:val="00EB59AF"/>
    <w:rsid w:val="00EB5CBF"/>
    <w:rsid w:val="00EB6A3D"/>
    <w:rsid w:val="00EC0147"/>
    <w:rsid w:val="00EC211A"/>
    <w:rsid w:val="00EC668F"/>
    <w:rsid w:val="00ED0735"/>
    <w:rsid w:val="00ED6D4C"/>
    <w:rsid w:val="00EE4FF7"/>
    <w:rsid w:val="00EE7F40"/>
    <w:rsid w:val="00EF74C3"/>
    <w:rsid w:val="00F114DD"/>
    <w:rsid w:val="00F136EA"/>
    <w:rsid w:val="00F42E76"/>
    <w:rsid w:val="00F56506"/>
    <w:rsid w:val="00F80AA0"/>
    <w:rsid w:val="00F84365"/>
    <w:rsid w:val="00F87022"/>
    <w:rsid w:val="00F93A27"/>
    <w:rsid w:val="00F96712"/>
    <w:rsid w:val="00FA51FC"/>
    <w:rsid w:val="00FC6D4E"/>
    <w:rsid w:val="00FD116A"/>
    <w:rsid w:val="00FD417E"/>
    <w:rsid w:val="00FD69DE"/>
    <w:rsid w:val="00FF6B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EEE7AEE"/>
  <w15:chartTrackingRefBased/>
  <w15:docId w15:val="{26D41B3B-603D-4923-A977-C86C310C0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6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6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625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625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625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625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625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625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625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625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625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625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625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625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625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625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625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625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6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625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625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625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625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62555"/>
    <w:rPr>
      <w:i/>
      <w:iCs/>
      <w:color w:val="404040" w:themeColor="text1" w:themeTint="BF"/>
    </w:rPr>
  </w:style>
  <w:style w:type="paragraph" w:styleId="Paragrafoelenco">
    <w:name w:val="List Paragraph"/>
    <w:basedOn w:val="Normale"/>
    <w:uiPriority w:val="34"/>
    <w:qFormat/>
    <w:rsid w:val="00962555"/>
    <w:pPr>
      <w:ind w:left="720"/>
      <w:contextualSpacing/>
    </w:pPr>
  </w:style>
  <w:style w:type="character" w:styleId="Enfasiintensa">
    <w:name w:val="Intense Emphasis"/>
    <w:basedOn w:val="Carpredefinitoparagrafo"/>
    <w:uiPriority w:val="21"/>
    <w:qFormat/>
    <w:rsid w:val="00962555"/>
    <w:rPr>
      <w:i/>
      <w:iCs/>
      <w:color w:val="0F4761" w:themeColor="accent1" w:themeShade="BF"/>
    </w:rPr>
  </w:style>
  <w:style w:type="paragraph" w:styleId="Citazioneintensa">
    <w:name w:val="Intense Quote"/>
    <w:basedOn w:val="Normale"/>
    <w:next w:val="Normale"/>
    <w:link w:val="CitazioneintensaCarattere"/>
    <w:uiPriority w:val="30"/>
    <w:qFormat/>
    <w:rsid w:val="0096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62555"/>
    <w:rPr>
      <w:i/>
      <w:iCs/>
      <w:color w:val="0F4761" w:themeColor="accent1" w:themeShade="BF"/>
    </w:rPr>
  </w:style>
  <w:style w:type="character" w:styleId="Riferimentointenso">
    <w:name w:val="Intense Reference"/>
    <w:basedOn w:val="Carpredefinitoparagrafo"/>
    <w:uiPriority w:val="32"/>
    <w:qFormat/>
    <w:rsid w:val="00962555"/>
    <w:rPr>
      <w:b/>
      <w:bCs/>
      <w:smallCaps/>
      <w:color w:val="0F4761" w:themeColor="accent1" w:themeShade="BF"/>
      <w:spacing w:val="5"/>
    </w:rPr>
  </w:style>
  <w:style w:type="paragraph" w:styleId="Didascalia">
    <w:name w:val="caption"/>
    <w:basedOn w:val="Normale"/>
    <w:next w:val="Normale"/>
    <w:uiPriority w:val="35"/>
    <w:unhideWhenUsed/>
    <w:qFormat/>
    <w:rsid w:val="005D1A80"/>
    <w:pPr>
      <w:spacing w:after="200" w:line="240" w:lineRule="auto"/>
    </w:pPr>
    <w:rPr>
      <w:i/>
      <w:iCs/>
      <w:color w:val="0E2841" w:themeColor="text2"/>
      <w:sz w:val="18"/>
      <w:szCs w:val="18"/>
    </w:rPr>
  </w:style>
  <w:style w:type="paragraph" w:styleId="NormaleWeb">
    <w:name w:val="Normal (Web)"/>
    <w:basedOn w:val="Normale"/>
    <w:uiPriority w:val="99"/>
    <w:semiHidden/>
    <w:unhideWhenUsed/>
    <w:rsid w:val="00BC2AF0"/>
    <w:rPr>
      <w:rFonts w:ascii="Times New Roman" w:hAnsi="Times New Roman" w:cs="Times New Roman"/>
    </w:rPr>
  </w:style>
  <w:style w:type="character" w:styleId="Collegamentoipertestuale">
    <w:name w:val="Hyperlink"/>
    <w:basedOn w:val="Carpredefinitoparagrafo"/>
    <w:uiPriority w:val="99"/>
    <w:unhideWhenUsed/>
    <w:rsid w:val="00E94474"/>
    <w:rPr>
      <w:color w:val="467886" w:themeColor="hyperlink"/>
      <w:u w:val="single"/>
    </w:rPr>
  </w:style>
  <w:style w:type="character" w:styleId="Menzionenonrisolta">
    <w:name w:val="Unresolved Mention"/>
    <w:basedOn w:val="Carpredefinitoparagrafo"/>
    <w:uiPriority w:val="99"/>
    <w:semiHidden/>
    <w:unhideWhenUsed/>
    <w:rsid w:val="00E94474"/>
    <w:rPr>
      <w:color w:val="605E5C"/>
      <w:shd w:val="clear" w:color="auto" w:fill="E1DFDD"/>
    </w:rPr>
  </w:style>
  <w:style w:type="table" w:styleId="Tabellasemplice-3">
    <w:name w:val="Plain Table 3"/>
    <w:basedOn w:val="Tabellanormale"/>
    <w:uiPriority w:val="43"/>
    <w:rsid w:val="00B93A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5">
    <w:name w:val="Plain Table 5"/>
    <w:basedOn w:val="Tabellanormale"/>
    <w:uiPriority w:val="45"/>
    <w:rsid w:val="00B93A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gliatabella">
    <w:name w:val="Table Grid"/>
    <w:basedOn w:val="Tabellanormale"/>
    <w:uiPriority w:val="39"/>
    <w:rsid w:val="00101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2">
    <w:name w:val="Plain Table 2"/>
    <w:basedOn w:val="Tabellanormale"/>
    <w:uiPriority w:val="42"/>
    <w:rsid w:val="00101F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4724">
      <w:bodyDiv w:val="1"/>
      <w:marLeft w:val="0"/>
      <w:marRight w:val="0"/>
      <w:marTop w:val="0"/>
      <w:marBottom w:val="0"/>
      <w:divBdr>
        <w:top w:val="none" w:sz="0" w:space="0" w:color="auto"/>
        <w:left w:val="none" w:sz="0" w:space="0" w:color="auto"/>
        <w:bottom w:val="none" w:sz="0" w:space="0" w:color="auto"/>
        <w:right w:val="none" w:sz="0" w:space="0" w:color="auto"/>
      </w:divBdr>
      <w:divsChild>
        <w:div w:id="1952207017">
          <w:marLeft w:val="0"/>
          <w:marRight w:val="0"/>
          <w:marTop w:val="0"/>
          <w:marBottom w:val="0"/>
          <w:divBdr>
            <w:top w:val="none" w:sz="0" w:space="0" w:color="auto"/>
            <w:left w:val="none" w:sz="0" w:space="0" w:color="auto"/>
            <w:bottom w:val="none" w:sz="0" w:space="0" w:color="auto"/>
            <w:right w:val="none" w:sz="0" w:space="0" w:color="auto"/>
          </w:divBdr>
          <w:divsChild>
            <w:div w:id="1188786157">
              <w:marLeft w:val="0"/>
              <w:marRight w:val="0"/>
              <w:marTop w:val="0"/>
              <w:marBottom w:val="0"/>
              <w:divBdr>
                <w:top w:val="none" w:sz="0" w:space="0" w:color="auto"/>
                <w:left w:val="none" w:sz="0" w:space="0" w:color="auto"/>
                <w:bottom w:val="none" w:sz="0" w:space="0" w:color="auto"/>
                <w:right w:val="none" w:sz="0" w:space="0" w:color="auto"/>
              </w:divBdr>
              <w:divsChild>
                <w:div w:id="1934825622">
                  <w:marLeft w:val="0"/>
                  <w:marRight w:val="0"/>
                  <w:marTop w:val="0"/>
                  <w:marBottom w:val="0"/>
                  <w:divBdr>
                    <w:top w:val="none" w:sz="0" w:space="0" w:color="auto"/>
                    <w:left w:val="none" w:sz="0" w:space="0" w:color="auto"/>
                    <w:bottom w:val="none" w:sz="0" w:space="0" w:color="auto"/>
                    <w:right w:val="none" w:sz="0" w:space="0" w:color="auto"/>
                  </w:divBdr>
                  <w:divsChild>
                    <w:div w:id="1905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88991">
      <w:bodyDiv w:val="1"/>
      <w:marLeft w:val="0"/>
      <w:marRight w:val="0"/>
      <w:marTop w:val="0"/>
      <w:marBottom w:val="0"/>
      <w:divBdr>
        <w:top w:val="none" w:sz="0" w:space="0" w:color="auto"/>
        <w:left w:val="none" w:sz="0" w:space="0" w:color="auto"/>
        <w:bottom w:val="none" w:sz="0" w:space="0" w:color="auto"/>
        <w:right w:val="none" w:sz="0" w:space="0" w:color="auto"/>
      </w:divBdr>
    </w:div>
    <w:div w:id="152962874">
      <w:bodyDiv w:val="1"/>
      <w:marLeft w:val="0"/>
      <w:marRight w:val="0"/>
      <w:marTop w:val="0"/>
      <w:marBottom w:val="0"/>
      <w:divBdr>
        <w:top w:val="none" w:sz="0" w:space="0" w:color="auto"/>
        <w:left w:val="none" w:sz="0" w:space="0" w:color="auto"/>
        <w:bottom w:val="none" w:sz="0" w:space="0" w:color="auto"/>
        <w:right w:val="none" w:sz="0" w:space="0" w:color="auto"/>
      </w:divBdr>
    </w:div>
    <w:div w:id="178158335">
      <w:bodyDiv w:val="1"/>
      <w:marLeft w:val="0"/>
      <w:marRight w:val="0"/>
      <w:marTop w:val="0"/>
      <w:marBottom w:val="0"/>
      <w:divBdr>
        <w:top w:val="none" w:sz="0" w:space="0" w:color="auto"/>
        <w:left w:val="none" w:sz="0" w:space="0" w:color="auto"/>
        <w:bottom w:val="none" w:sz="0" w:space="0" w:color="auto"/>
        <w:right w:val="none" w:sz="0" w:space="0" w:color="auto"/>
      </w:divBdr>
    </w:div>
    <w:div w:id="228075468">
      <w:bodyDiv w:val="1"/>
      <w:marLeft w:val="0"/>
      <w:marRight w:val="0"/>
      <w:marTop w:val="0"/>
      <w:marBottom w:val="0"/>
      <w:divBdr>
        <w:top w:val="none" w:sz="0" w:space="0" w:color="auto"/>
        <w:left w:val="none" w:sz="0" w:space="0" w:color="auto"/>
        <w:bottom w:val="none" w:sz="0" w:space="0" w:color="auto"/>
        <w:right w:val="none" w:sz="0" w:space="0" w:color="auto"/>
      </w:divBdr>
    </w:div>
    <w:div w:id="287397523">
      <w:bodyDiv w:val="1"/>
      <w:marLeft w:val="0"/>
      <w:marRight w:val="0"/>
      <w:marTop w:val="0"/>
      <w:marBottom w:val="0"/>
      <w:divBdr>
        <w:top w:val="none" w:sz="0" w:space="0" w:color="auto"/>
        <w:left w:val="none" w:sz="0" w:space="0" w:color="auto"/>
        <w:bottom w:val="none" w:sz="0" w:space="0" w:color="auto"/>
        <w:right w:val="none" w:sz="0" w:space="0" w:color="auto"/>
      </w:divBdr>
    </w:div>
    <w:div w:id="321005073">
      <w:bodyDiv w:val="1"/>
      <w:marLeft w:val="0"/>
      <w:marRight w:val="0"/>
      <w:marTop w:val="0"/>
      <w:marBottom w:val="0"/>
      <w:divBdr>
        <w:top w:val="none" w:sz="0" w:space="0" w:color="auto"/>
        <w:left w:val="none" w:sz="0" w:space="0" w:color="auto"/>
        <w:bottom w:val="none" w:sz="0" w:space="0" w:color="auto"/>
        <w:right w:val="none" w:sz="0" w:space="0" w:color="auto"/>
      </w:divBdr>
    </w:div>
    <w:div w:id="367415241">
      <w:bodyDiv w:val="1"/>
      <w:marLeft w:val="0"/>
      <w:marRight w:val="0"/>
      <w:marTop w:val="0"/>
      <w:marBottom w:val="0"/>
      <w:divBdr>
        <w:top w:val="none" w:sz="0" w:space="0" w:color="auto"/>
        <w:left w:val="none" w:sz="0" w:space="0" w:color="auto"/>
        <w:bottom w:val="none" w:sz="0" w:space="0" w:color="auto"/>
        <w:right w:val="none" w:sz="0" w:space="0" w:color="auto"/>
      </w:divBdr>
    </w:div>
    <w:div w:id="427115237">
      <w:bodyDiv w:val="1"/>
      <w:marLeft w:val="0"/>
      <w:marRight w:val="0"/>
      <w:marTop w:val="0"/>
      <w:marBottom w:val="0"/>
      <w:divBdr>
        <w:top w:val="none" w:sz="0" w:space="0" w:color="auto"/>
        <w:left w:val="none" w:sz="0" w:space="0" w:color="auto"/>
        <w:bottom w:val="none" w:sz="0" w:space="0" w:color="auto"/>
        <w:right w:val="none" w:sz="0" w:space="0" w:color="auto"/>
      </w:divBdr>
    </w:div>
    <w:div w:id="444160631">
      <w:bodyDiv w:val="1"/>
      <w:marLeft w:val="0"/>
      <w:marRight w:val="0"/>
      <w:marTop w:val="0"/>
      <w:marBottom w:val="0"/>
      <w:divBdr>
        <w:top w:val="none" w:sz="0" w:space="0" w:color="auto"/>
        <w:left w:val="none" w:sz="0" w:space="0" w:color="auto"/>
        <w:bottom w:val="none" w:sz="0" w:space="0" w:color="auto"/>
        <w:right w:val="none" w:sz="0" w:space="0" w:color="auto"/>
      </w:divBdr>
    </w:div>
    <w:div w:id="562839873">
      <w:bodyDiv w:val="1"/>
      <w:marLeft w:val="0"/>
      <w:marRight w:val="0"/>
      <w:marTop w:val="0"/>
      <w:marBottom w:val="0"/>
      <w:divBdr>
        <w:top w:val="none" w:sz="0" w:space="0" w:color="auto"/>
        <w:left w:val="none" w:sz="0" w:space="0" w:color="auto"/>
        <w:bottom w:val="none" w:sz="0" w:space="0" w:color="auto"/>
        <w:right w:val="none" w:sz="0" w:space="0" w:color="auto"/>
      </w:divBdr>
      <w:divsChild>
        <w:div w:id="1741707001">
          <w:marLeft w:val="0"/>
          <w:marRight w:val="0"/>
          <w:marTop w:val="0"/>
          <w:marBottom w:val="0"/>
          <w:divBdr>
            <w:top w:val="none" w:sz="0" w:space="0" w:color="auto"/>
            <w:left w:val="none" w:sz="0" w:space="0" w:color="auto"/>
            <w:bottom w:val="none" w:sz="0" w:space="0" w:color="auto"/>
            <w:right w:val="none" w:sz="0" w:space="0" w:color="auto"/>
          </w:divBdr>
          <w:divsChild>
            <w:div w:id="1014264888">
              <w:marLeft w:val="0"/>
              <w:marRight w:val="0"/>
              <w:marTop w:val="0"/>
              <w:marBottom w:val="0"/>
              <w:divBdr>
                <w:top w:val="none" w:sz="0" w:space="0" w:color="auto"/>
                <w:left w:val="none" w:sz="0" w:space="0" w:color="auto"/>
                <w:bottom w:val="none" w:sz="0" w:space="0" w:color="auto"/>
                <w:right w:val="none" w:sz="0" w:space="0" w:color="auto"/>
              </w:divBdr>
              <w:divsChild>
                <w:div w:id="1588925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555236">
              <w:marLeft w:val="0"/>
              <w:marRight w:val="0"/>
              <w:marTop w:val="0"/>
              <w:marBottom w:val="0"/>
              <w:divBdr>
                <w:top w:val="none" w:sz="0" w:space="0" w:color="auto"/>
                <w:left w:val="none" w:sz="0" w:space="0" w:color="auto"/>
                <w:bottom w:val="none" w:sz="0" w:space="0" w:color="auto"/>
                <w:right w:val="none" w:sz="0" w:space="0" w:color="auto"/>
              </w:divBdr>
              <w:divsChild>
                <w:div w:id="560219193">
                  <w:marLeft w:val="0"/>
                  <w:marRight w:val="0"/>
                  <w:marTop w:val="0"/>
                  <w:marBottom w:val="0"/>
                  <w:divBdr>
                    <w:top w:val="none" w:sz="0" w:space="0" w:color="auto"/>
                    <w:left w:val="none" w:sz="0" w:space="0" w:color="auto"/>
                    <w:bottom w:val="none" w:sz="0" w:space="0" w:color="auto"/>
                    <w:right w:val="none" w:sz="0" w:space="0" w:color="auto"/>
                  </w:divBdr>
                  <w:divsChild>
                    <w:div w:id="19207435">
                      <w:marLeft w:val="0"/>
                      <w:marRight w:val="0"/>
                      <w:marTop w:val="0"/>
                      <w:marBottom w:val="0"/>
                      <w:divBdr>
                        <w:top w:val="none" w:sz="0" w:space="0" w:color="auto"/>
                        <w:left w:val="none" w:sz="0" w:space="0" w:color="auto"/>
                        <w:bottom w:val="none" w:sz="0" w:space="0" w:color="auto"/>
                        <w:right w:val="none" w:sz="0" w:space="0" w:color="auto"/>
                      </w:divBdr>
                      <w:divsChild>
                        <w:div w:id="615602793">
                          <w:marLeft w:val="0"/>
                          <w:marRight w:val="0"/>
                          <w:marTop w:val="0"/>
                          <w:marBottom w:val="0"/>
                          <w:divBdr>
                            <w:top w:val="none" w:sz="0" w:space="0" w:color="auto"/>
                            <w:left w:val="none" w:sz="0" w:space="0" w:color="auto"/>
                            <w:bottom w:val="none" w:sz="0" w:space="0" w:color="auto"/>
                            <w:right w:val="none" w:sz="0" w:space="0" w:color="auto"/>
                          </w:divBdr>
                        </w:div>
                      </w:divsChild>
                    </w:div>
                    <w:div w:id="63993595">
                      <w:marLeft w:val="0"/>
                      <w:marRight w:val="0"/>
                      <w:marTop w:val="0"/>
                      <w:marBottom w:val="0"/>
                      <w:divBdr>
                        <w:top w:val="none" w:sz="0" w:space="0" w:color="auto"/>
                        <w:left w:val="none" w:sz="0" w:space="0" w:color="auto"/>
                        <w:bottom w:val="none" w:sz="0" w:space="0" w:color="auto"/>
                        <w:right w:val="none" w:sz="0" w:space="0" w:color="auto"/>
                      </w:divBdr>
                      <w:divsChild>
                        <w:div w:id="14676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850560">
      <w:bodyDiv w:val="1"/>
      <w:marLeft w:val="0"/>
      <w:marRight w:val="0"/>
      <w:marTop w:val="0"/>
      <w:marBottom w:val="0"/>
      <w:divBdr>
        <w:top w:val="none" w:sz="0" w:space="0" w:color="auto"/>
        <w:left w:val="none" w:sz="0" w:space="0" w:color="auto"/>
        <w:bottom w:val="none" w:sz="0" w:space="0" w:color="auto"/>
        <w:right w:val="none" w:sz="0" w:space="0" w:color="auto"/>
      </w:divBdr>
    </w:div>
    <w:div w:id="613168599">
      <w:bodyDiv w:val="1"/>
      <w:marLeft w:val="0"/>
      <w:marRight w:val="0"/>
      <w:marTop w:val="0"/>
      <w:marBottom w:val="0"/>
      <w:divBdr>
        <w:top w:val="none" w:sz="0" w:space="0" w:color="auto"/>
        <w:left w:val="none" w:sz="0" w:space="0" w:color="auto"/>
        <w:bottom w:val="none" w:sz="0" w:space="0" w:color="auto"/>
        <w:right w:val="none" w:sz="0" w:space="0" w:color="auto"/>
      </w:divBdr>
    </w:div>
    <w:div w:id="695617783">
      <w:bodyDiv w:val="1"/>
      <w:marLeft w:val="0"/>
      <w:marRight w:val="0"/>
      <w:marTop w:val="0"/>
      <w:marBottom w:val="0"/>
      <w:divBdr>
        <w:top w:val="none" w:sz="0" w:space="0" w:color="auto"/>
        <w:left w:val="none" w:sz="0" w:space="0" w:color="auto"/>
        <w:bottom w:val="none" w:sz="0" w:space="0" w:color="auto"/>
        <w:right w:val="none" w:sz="0" w:space="0" w:color="auto"/>
      </w:divBdr>
    </w:div>
    <w:div w:id="779954521">
      <w:bodyDiv w:val="1"/>
      <w:marLeft w:val="0"/>
      <w:marRight w:val="0"/>
      <w:marTop w:val="0"/>
      <w:marBottom w:val="0"/>
      <w:divBdr>
        <w:top w:val="none" w:sz="0" w:space="0" w:color="auto"/>
        <w:left w:val="none" w:sz="0" w:space="0" w:color="auto"/>
        <w:bottom w:val="none" w:sz="0" w:space="0" w:color="auto"/>
        <w:right w:val="none" w:sz="0" w:space="0" w:color="auto"/>
      </w:divBdr>
    </w:div>
    <w:div w:id="807472017">
      <w:bodyDiv w:val="1"/>
      <w:marLeft w:val="0"/>
      <w:marRight w:val="0"/>
      <w:marTop w:val="0"/>
      <w:marBottom w:val="0"/>
      <w:divBdr>
        <w:top w:val="none" w:sz="0" w:space="0" w:color="auto"/>
        <w:left w:val="none" w:sz="0" w:space="0" w:color="auto"/>
        <w:bottom w:val="none" w:sz="0" w:space="0" w:color="auto"/>
        <w:right w:val="none" w:sz="0" w:space="0" w:color="auto"/>
      </w:divBdr>
    </w:div>
    <w:div w:id="823275481">
      <w:bodyDiv w:val="1"/>
      <w:marLeft w:val="0"/>
      <w:marRight w:val="0"/>
      <w:marTop w:val="0"/>
      <w:marBottom w:val="0"/>
      <w:divBdr>
        <w:top w:val="none" w:sz="0" w:space="0" w:color="auto"/>
        <w:left w:val="none" w:sz="0" w:space="0" w:color="auto"/>
        <w:bottom w:val="none" w:sz="0" w:space="0" w:color="auto"/>
        <w:right w:val="none" w:sz="0" w:space="0" w:color="auto"/>
      </w:divBdr>
    </w:div>
    <w:div w:id="833374496">
      <w:bodyDiv w:val="1"/>
      <w:marLeft w:val="0"/>
      <w:marRight w:val="0"/>
      <w:marTop w:val="0"/>
      <w:marBottom w:val="0"/>
      <w:divBdr>
        <w:top w:val="none" w:sz="0" w:space="0" w:color="auto"/>
        <w:left w:val="none" w:sz="0" w:space="0" w:color="auto"/>
        <w:bottom w:val="none" w:sz="0" w:space="0" w:color="auto"/>
        <w:right w:val="none" w:sz="0" w:space="0" w:color="auto"/>
      </w:divBdr>
      <w:divsChild>
        <w:div w:id="560098618">
          <w:marLeft w:val="0"/>
          <w:marRight w:val="0"/>
          <w:marTop w:val="0"/>
          <w:marBottom w:val="0"/>
          <w:divBdr>
            <w:top w:val="none" w:sz="0" w:space="0" w:color="auto"/>
            <w:left w:val="none" w:sz="0" w:space="0" w:color="auto"/>
            <w:bottom w:val="none" w:sz="0" w:space="0" w:color="auto"/>
            <w:right w:val="none" w:sz="0" w:space="0" w:color="auto"/>
          </w:divBdr>
          <w:divsChild>
            <w:div w:id="103162299">
              <w:marLeft w:val="0"/>
              <w:marRight w:val="0"/>
              <w:marTop w:val="0"/>
              <w:marBottom w:val="0"/>
              <w:divBdr>
                <w:top w:val="none" w:sz="0" w:space="0" w:color="auto"/>
                <w:left w:val="none" w:sz="0" w:space="0" w:color="auto"/>
                <w:bottom w:val="none" w:sz="0" w:space="0" w:color="auto"/>
                <w:right w:val="none" w:sz="0" w:space="0" w:color="auto"/>
              </w:divBdr>
              <w:divsChild>
                <w:div w:id="1929002565">
                  <w:marLeft w:val="0"/>
                  <w:marRight w:val="0"/>
                  <w:marTop w:val="0"/>
                  <w:marBottom w:val="0"/>
                  <w:divBdr>
                    <w:top w:val="none" w:sz="0" w:space="0" w:color="auto"/>
                    <w:left w:val="none" w:sz="0" w:space="0" w:color="auto"/>
                    <w:bottom w:val="none" w:sz="0" w:space="0" w:color="auto"/>
                    <w:right w:val="none" w:sz="0" w:space="0" w:color="auto"/>
                  </w:divBdr>
                  <w:divsChild>
                    <w:div w:id="105843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4558">
      <w:bodyDiv w:val="1"/>
      <w:marLeft w:val="0"/>
      <w:marRight w:val="0"/>
      <w:marTop w:val="0"/>
      <w:marBottom w:val="0"/>
      <w:divBdr>
        <w:top w:val="none" w:sz="0" w:space="0" w:color="auto"/>
        <w:left w:val="none" w:sz="0" w:space="0" w:color="auto"/>
        <w:bottom w:val="none" w:sz="0" w:space="0" w:color="auto"/>
        <w:right w:val="none" w:sz="0" w:space="0" w:color="auto"/>
      </w:divBdr>
    </w:div>
    <w:div w:id="1026368710">
      <w:bodyDiv w:val="1"/>
      <w:marLeft w:val="0"/>
      <w:marRight w:val="0"/>
      <w:marTop w:val="0"/>
      <w:marBottom w:val="0"/>
      <w:divBdr>
        <w:top w:val="none" w:sz="0" w:space="0" w:color="auto"/>
        <w:left w:val="none" w:sz="0" w:space="0" w:color="auto"/>
        <w:bottom w:val="none" w:sz="0" w:space="0" w:color="auto"/>
        <w:right w:val="none" w:sz="0" w:space="0" w:color="auto"/>
      </w:divBdr>
    </w:div>
    <w:div w:id="1057584214">
      <w:bodyDiv w:val="1"/>
      <w:marLeft w:val="0"/>
      <w:marRight w:val="0"/>
      <w:marTop w:val="0"/>
      <w:marBottom w:val="0"/>
      <w:divBdr>
        <w:top w:val="none" w:sz="0" w:space="0" w:color="auto"/>
        <w:left w:val="none" w:sz="0" w:space="0" w:color="auto"/>
        <w:bottom w:val="none" w:sz="0" w:space="0" w:color="auto"/>
        <w:right w:val="none" w:sz="0" w:space="0" w:color="auto"/>
      </w:divBdr>
    </w:div>
    <w:div w:id="1139416476">
      <w:bodyDiv w:val="1"/>
      <w:marLeft w:val="0"/>
      <w:marRight w:val="0"/>
      <w:marTop w:val="0"/>
      <w:marBottom w:val="0"/>
      <w:divBdr>
        <w:top w:val="none" w:sz="0" w:space="0" w:color="auto"/>
        <w:left w:val="none" w:sz="0" w:space="0" w:color="auto"/>
        <w:bottom w:val="none" w:sz="0" w:space="0" w:color="auto"/>
        <w:right w:val="none" w:sz="0" w:space="0" w:color="auto"/>
      </w:divBdr>
    </w:div>
    <w:div w:id="1258368085">
      <w:bodyDiv w:val="1"/>
      <w:marLeft w:val="0"/>
      <w:marRight w:val="0"/>
      <w:marTop w:val="0"/>
      <w:marBottom w:val="0"/>
      <w:divBdr>
        <w:top w:val="none" w:sz="0" w:space="0" w:color="auto"/>
        <w:left w:val="none" w:sz="0" w:space="0" w:color="auto"/>
        <w:bottom w:val="none" w:sz="0" w:space="0" w:color="auto"/>
        <w:right w:val="none" w:sz="0" w:space="0" w:color="auto"/>
      </w:divBdr>
    </w:div>
    <w:div w:id="1391031282">
      <w:bodyDiv w:val="1"/>
      <w:marLeft w:val="0"/>
      <w:marRight w:val="0"/>
      <w:marTop w:val="0"/>
      <w:marBottom w:val="0"/>
      <w:divBdr>
        <w:top w:val="none" w:sz="0" w:space="0" w:color="auto"/>
        <w:left w:val="none" w:sz="0" w:space="0" w:color="auto"/>
        <w:bottom w:val="none" w:sz="0" w:space="0" w:color="auto"/>
        <w:right w:val="none" w:sz="0" w:space="0" w:color="auto"/>
      </w:divBdr>
    </w:div>
    <w:div w:id="1396128848">
      <w:bodyDiv w:val="1"/>
      <w:marLeft w:val="0"/>
      <w:marRight w:val="0"/>
      <w:marTop w:val="0"/>
      <w:marBottom w:val="0"/>
      <w:divBdr>
        <w:top w:val="none" w:sz="0" w:space="0" w:color="auto"/>
        <w:left w:val="none" w:sz="0" w:space="0" w:color="auto"/>
        <w:bottom w:val="none" w:sz="0" w:space="0" w:color="auto"/>
        <w:right w:val="none" w:sz="0" w:space="0" w:color="auto"/>
      </w:divBdr>
    </w:div>
    <w:div w:id="1456674875">
      <w:bodyDiv w:val="1"/>
      <w:marLeft w:val="0"/>
      <w:marRight w:val="0"/>
      <w:marTop w:val="0"/>
      <w:marBottom w:val="0"/>
      <w:divBdr>
        <w:top w:val="none" w:sz="0" w:space="0" w:color="auto"/>
        <w:left w:val="none" w:sz="0" w:space="0" w:color="auto"/>
        <w:bottom w:val="none" w:sz="0" w:space="0" w:color="auto"/>
        <w:right w:val="none" w:sz="0" w:space="0" w:color="auto"/>
      </w:divBdr>
    </w:div>
    <w:div w:id="1493987203">
      <w:bodyDiv w:val="1"/>
      <w:marLeft w:val="0"/>
      <w:marRight w:val="0"/>
      <w:marTop w:val="0"/>
      <w:marBottom w:val="0"/>
      <w:divBdr>
        <w:top w:val="none" w:sz="0" w:space="0" w:color="auto"/>
        <w:left w:val="none" w:sz="0" w:space="0" w:color="auto"/>
        <w:bottom w:val="none" w:sz="0" w:space="0" w:color="auto"/>
        <w:right w:val="none" w:sz="0" w:space="0" w:color="auto"/>
      </w:divBdr>
    </w:div>
    <w:div w:id="1742869849">
      <w:bodyDiv w:val="1"/>
      <w:marLeft w:val="0"/>
      <w:marRight w:val="0"/>
      <w:marTop w:val="0"/>
      <w:marBottom w:val="0"/>
      <w:divBdr>
        <w:top w:val="none" w:sz="0" w:space="0" w:color="auto"/>
        <w:left w:val="none" w:sz="0" w:space="0" w:color="auto"/>
        <w:bottom w:val="none" w:sz="0" w:space="0" w:color="auto"/>
        <w:right w:val="none" w:sz="0" w:space="0" w:color="auto"/>
      </w:divBdr>
      <w:divsChild>
        <w:div w:id="1087575539">
          <w:marLeft w:val="0"/>
          <w:marRight w:val="0"/>
          <w:marTop w:val="0"/>
          <w:marBottom w:val="0"/>
          <w:divBdr>
            <w:top w:val="none" w:sz="0" w:space="0" w:color="auto"/>
            <w:left w:val="none" w:sz="0" w:space="0" w:color="auto"/>
            <w:bottom w:val="none" w:sz="0" w:space="0" w:color="auto"/>
            <w:right w:val="none" w:sz="0" w:space="0" w:color="auto"/>
          </w:divBdr>
          <w:divsChild>
            <w:div w:id="1683242447">
              <w:marLeft w:val="0"/>
              <w:marRight w:val="0"/>
              <w:marTop w:val="0"/>
              <w:marBottom w:val="0"/>
              <w:divBdr>
                <w:top w:val="none" w:sz="0" w:space="0" w:color="auto"/>
                <w:left w:val="none" w:sz="0" w:space="0" w:color="auto"/>
                <w:bottom w:val="none" w:sz="0" w:space="0" w:color="auto"/>
                <w:right w:val="none" w:sz="0" w:space="0" w:color="auto"/>
              </w:divBdr>
              <w:divsChild>
                <w:div w:id="50502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59785452">
      <w:bodyDiv w:val="1"/>
      <w:marLeft w:val="0"/>
      <w:marRight w:val="0"/>
      <w:marTop w:val="0"/>
      <w:marBottom w:val="0"/>
      <w:divBdr>
        <w:top w:val="none" w:sz="0" w:space="0" w:color="auto"/>
        <w:left w:val="none" w:sz="0" w:space="0" w:color="auto"/>
        <w:bottom w:val="none" w:sz="0" w:space="0" w:color="auto"/>
        <w:right w:val="none" w:sz="0" w:space="0" w:color="auto"/>
      </w:divBdr>
    </w:div>
    <w:div w:id="1777944536">
      <w:bodyDiv w:val="1"/>
      <w:marLeft w:val="0"/>
      <w:marRight w:val="0"/>
      <w:marTop w:val="0"/>
      <w:marBottom w:val="0"/>
      <w:divBdr>
        <w:top w:val="none" w:sz="0" w:space="0" w:color="auto"/>
        <w:left w:val="none" w:sz="0" w:space="0" w:color="auto"/>
        <w:bottom w:val="none" w:sz="0" w:space="0" w:color="auto"/>
        <w:right w:val="none" w:sz="0" w:space="0" w:color="auto"/>
      </w:divBdr>
    </w:div>
    <w:div w:id="1778987694">
      <w:bodyDiv w:val="1"/>
      <w:marLeft w:val="0"/>
      <w:marRight w:val="0"/>
      <w:marTop w:val="0"/>
      <w:marBottom w:val="0"/>
      <w:divBdr>
        <w:top w:val="none" w:sz="0" w:space="0" w:color="auto"/>
        <w:left w:val="none" w:sz="0" w:space="0" w:color="auto"/>
        <w:bottom w:val="none" w:sz="0" w:space="0" w:color="auto"/>
        <w:right w:val="none" w:sz="0" w:space="0" w:color="auto"/>
      </w:divBdr>
    </w:div>
    <w:div w:id="1838570056">
      <w:bodyDiv w:val="1"/>
      <w:marLeft w:val="0"/>
      <w:marRight w:val="0"/>
      <w:marTop w:val="0"/>
      <w:marBottom w:val="0"/>
      <w:divBdr>
        <w:top w:val="none" w:sz="0" w:space="0" w:color="auto"/>
        <w:left w:val="none" w:sz="0" w:space="0" w:color="auto"/>
        <w:bottom w:val="none" w:sz="0" w:space="0" w:color="auto"/>
        <w:right w:val="none" w:sz="0" w:space="0" w:color="auto"/>
      </w:divBdr>
    </w:div>
    <w:div w:id="1948999577">
      <w:bodyDiv w:val="1"/>
      <w:marLeft w:val="0"/>
      <w:marRight w:val="0"/>
      <w:marTop w:val="0"/>
      <w:marBottom w:val="0"/>
      <w:divBdr>
        <w:top w:val="none" w:sz="0" w:space="0" w:color="auto"/>
        <w:left w:val="none" w:sz="0" w:space="0" w:color="auto"/>
        <w:bottom w:val="none" w:sz="0" w:space="0" w:color="auto"/>
        <w:right w:val="none" w:sz="0" w:space="0" w:color="auto"/>
      </w:divBdr>
    </w:div>
    <w:div w:id="198843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customXml" Target="../customXml/item3.xml"/><Relationship Id="rId21" Type="http://schemas.openxmlformats.org/officeDocument/2006/relationships/image" Target="media/image13.emf"/><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emf"/><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emf"/><Relationship Id="rId23" Type="http://schemas.openxmlformats.org/officeDocument/2006/relationships/image" Target="media/image15.emf"/><Relationship Id="rId10" Type="http://schemas.openxmlformats.org/officeDocument/2006/relationships/image" Target="media/image2.emf"/><Relationship Id="rId19" Type="http://schemas.openxmlformats.org/officeDocument/2006/relationships/image" Target="media/image11.emf"/><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8" ma:contentTypeDescription="Creare un nuovo documento." ma:contentTypeScope="" ma:versionID="57b8045e8abefa85dedc7991371a38b2">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f5ecd2ee382a35af39c71524ba84a011"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4D8FDA-BA14-4087-9F1D-93B6C9441C94}">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C3E66191-9CB8-473C-9B22-42BD6B6BB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23F665-62DE-4D1B-B2BA-1D4D66612A88}">
  <ds:schemaRefs>
    <ds:schemaRef ds:uri="http://schemas.openxmlformats.org/officeDocument/2006/bibliography"/>
  </ds:schemaRefs>
</ds:datastoreItem>
</file>

<file path=customXml/itemProps4.xml><?xml version="1.0" encoding="utf-8"?>
<ds:datastoreItem xmlns:ds="http://schemas.openxmlformats.org/officeDocument/2006/customXml" ds:itemID="{1FF46819-3CA4-4936-B5EB-3738956648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2998</Words>
  <Characters>17094</Characters>
  <Application>Microsoft Office Word</Application>
  <DocSecurity>0</DocSecurity>
  <Lines>142</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88</cp:revision>
  <dcterms:created xsi:type="dcterms:W3CDTF">2025-07-02T08:42:00Z</dcterms:created>
  <dcterms:modified xsi:type="dcterms:W3CDTF">2025-07-04T07:34:00Z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