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6319" w14:textId="0B1DDEFE" w:rsidR="002F68FA" w:rsidRPr="002F68FA" w:rsidRDefault="002F68FA" w:rsidP="00A63A7E">
      <w:pPr>
        <w:pStyle w:val="Titolo2"/>
        <w:jc w:val="both"/>
        <w:rPr>
          <w:sz w:val="40"/>
          <w:szCs w:val="40"/>
        </w:rPr>
      </w:pPr>
      <w:r w:rsidRPr="002F68FA">
        <w:rPr>
          <w:sz w:val="40"/>
          <w:szCs w:val="40"/>
        </w:rPr>
        <w:t>La scelta strategica tra compensi e dividendi per i soci-amministratori</w:t>
      </w:r>
    </w:p>
    <w:p w14:paraId="7CB9B768" w14:textId="4C81ED9C" w:rsidR="00E4044C" w:rsidRDefault="00FE04AB" w:rsidP="00A63A7E">
      <w:pPr>
        <w:pStyle w:val="Titolo2"/>
        <w:jc w:val="both"/>
        <w:rPr>
          <w:rFonts w:asciiTheme="minorHAnsi" w:eastAsiaTheme="minorHAnsi" w:hAnsiTheme="minorHAnsi" w:cstheme="minorBidi"/>
          <w:i/>
          <w:iCs/>
          <w:color w:val="auto"/>
          <w:sz w:val="24"/>
          <w:szCs w:val="24"/>
        </w:rPr>
      </w:pPr>
      <w:r>
        <w:rPr>
          <w:rFonts w:asciiTheme="minorHAnsi" w:eastAsiaTheme="minorHAnsi" w:hAnsiTheme="minorHAnsi" w:cstheme="minorBidi"/>
          <w:i/>
          <w:iCs/>
          <w:color w:val="auto"/>
          <w:sz w:val="24"/>
          <w:szCs w:val="24"/>
        </w:rPr>
        <w:t xml:space="preserve">Il panorama italiano è caratterizzato da soci/amministratori con attività prevalente nella società. In questi casi </w:t>
      </w:r>
      <w:r w:rsidR="00E4044C">
        <w:rPr>
          <w:rFonts w:asciiTheme="minorHAnsi" w:eastAsiaTheme="minorHAnsi" w:hAnsiTheme="minorHAnsi" w:cstheme="minorBidi"/>
          <w:i/>
          <w:iCs/>
          <w:color w:val="auto"/>
          <w:sz w:val="24"/>
          <w:szCs w:val="24"/>
        </w:rPr>
        <w:t xml:space="preserve">si pone l’alternativa </w:t>
      </w:r>
      <w:r w:rsidR="00B25E01" w:rsidRPr="002E3105">
        <w:rPr>
          <w:rFonts w:asciiTheme="minorHAnsi" w:eastAsiaTheme="minorHAnsi" w:hAnsiTheme="minorHAnsi" w:cstheme="minorBidi"/>
          <w:i/>
          <w:iCs/>
          <w:color w:val="auto"/>
          <w:sz w:val="24"/>
          <w:szCs w:val="24"/>
        </w:rPr>
        <w:t xml:space="preserve">tra il percepire un compenso come amministratore o </w:t>
      </w:r>
      <w:r w:rsidR="00E4044C">
        <w:rPr>
          <w:rFonts w:asciiTheme="minorHAnsi" w:eastAsiaTheme="minorHAnsi" w:hAnsiTheme="minorHAnsi" w:cstheme="minorBidi"/>
          <w:i/>
          <w:iCs/>
          <w:color w:val="auto"/>
          <w:sz w:val="24"/>
          <w:szCs w:val="24"/>
        </w:rPr>
        <w:t xml:space="preserve">ricevere </w:t>
      </w:r>
      <w:r w:rsidR="00B25E01" w:rsidRPr="002E3105">
        <w:rPr>
          <w:rFonts w:asciiTheme="minorHAnsi" w:eastAsiaTheme="minorHAnsi" w:hAnsiTheme="minorHAnsi" w:cstheme="minorBidi"/>
          <w:i/>
          <w:iCs/>
          <w:color w:val="auto"/>
          <w:sz w:val="24"/>
          <w:szCs w:val="24"/>
        </w:rPr>
        <w:t>gli utili come dividendo</w:t>
      </w:r>
      <w:r w:rsidR="00E4044C">
        <w:rPr>
          <w:rFonts w:asciiTheme="minorHAnsi" w:eastAsiaTheme="minorHAnsi" w:hAnsiTheme="minorHAnsi" w:cstheme="minorBidi"/>
          <w:i/>
          <w:iCs/>
          <w:color w:val="auto"/>
          <w:sz w:val="24"/>
          <w:szCs w:val="24"/>
        </w:rPr>
        <w:t>.</w:t>
      </w:r>
    </w:p>
    <w:p w14:paraId="0089FC07" w14:textId="6CA46965" w:rsidR="00B25E01" w:rsidRPr="002E3105" w:rsidRDefault="00B25E01" w:rsidP="00A63A7E">
      <w:pPr>
        <w:pStyle w:val="Titolo2"/>
        <w:jc w:val="both"/>
        <w:rPr>
          <w:rFonts w:asciiTheme="minorHAnsi" w:eastAsiaTheme="minorHAnsi" w:hAnsiTheme="minorHAnsi" w:cstheme="minorBidi"/>
          <w:i/>
          <w:iCs/>
          <w:color w:val="auto"/>
          <w:sz w:val="24"/>
          <w:szCs w:val="24"/>
        </w:rPr>
      </w:pPr>
      <w:r w:rsidRPr="002E3105">
        <w:rPr>
          <w:rFonts w:asciiTheme="minorHAnsi" w:eastAsiaTheme="minorHAnsi" w:hAnsiTheme="minorHAnsi" w:cstheme="minorBidi"/>
          <w:i/>
          <w:iCs/>
          <w:color w:val="auto"/>
          <w:sz w:val="24"/>
          <w:szCs w:val="24"/>
        </w:rPr>
        <w:t>La decisione non incide solo sulla fiscalità personale e aziendale, ma attiva (o esclude) obblighi contributivi. Con il tool DividendiCompensi_24, è possibile confrontare in modo dettagliato i due scenari e valutarne la convenienza economica netta per la società e per il socio</w:t>
      </w:r>
      <w:r w:rsidR="00E4044C">
        <w:rPr>
          <w:rFonts w:asciiTheme="minorHAnsi" w:eastAsiaTheme="minorHAnsi" w:hAnsiTheme="minorHAnsi" w:cstheme="minorBidi"/>
          <w:i/>
          <w:iCs/>
          <w:color w:val="auto"/>
          <w:sz w:val="24"/>
          <w:szCs w:val="24"/>
        </w:rPr>
        <w:t xml:space="preserve"> e trovare i punti di indifferenza tra le due alternative</w:t>
      </w:r>
      <w:r w:rsidRPr="002E3105">
        <w:rPr>
          <w:rFonts w:asciiTheme="minorHAnsi" w:eastAsiaTheme="minorHAnsi" w:hAnsiTheme="minorHAnsi" w:cstheme="minorBidi"/>
          <w:i/>
          <w:iCs/>
          <w:color w:val="auto"/>
          <w:sz w:val="24"/>
          <w:szCs w:val="24"/>
        </w:rPr>
        <w:t>. Nell’articolo verrà analizzato un caso pratico con un compenso annuo pari a 200.000</w:t>
      </w:r>
      <w:r w:rsidR="00CC3138">
        <w:rPr>
          <w:rFonts w:asciiTheme="minorHAnsi" w:eastAsiaTheme="minorHAnsi" w:hAnsiTheme="minorHAnsi" w:cstheme="minorBidi"/>
          <w:i/>
          <w:iCs/>
          <w:color w:val="auto"/>
          <w:sz w:val="24"/>
          <w:szCs w:val="24"/>
        </w:rPr>
        <w:t xml:space="preserve"> e</w:t>
      </w:r>
      <w:r w:rsidRPr="002E3105">
        <w:rPr>
          <w:rFonts w:asciiTheme="minorHAnsi" w:eastAsiaTheme="minorHAnsi" w:hAnsiTheme="minorHAnsi" w:cstheme="minorBidi"/>
          <w:i/>
          <w:iCs/>
          <w:color w:val="auto"/>
          <w:sz w:val="24"/>
          <w:szCs w:val="24"/>
        </w:rPr>
        <w:t>, in alternativa, una distribuzione di utili dello stesso importo, evidenziando differenze di carico fiscale, contributivo e netto percepito</w:t>
      </w:r>
      <w:r w:rsidR="0062023E">
        <w:rPr>
          <w:rFonts w:asciiTheme="minorHAnsi" w:eastAsiaTheme="minorHAnsi" w:hAnsiTheme="minorHAnsi" w:cstheme="minorBidi"/>
          <w:i/>
          <w:iCs/>
          <w:color w:val="auto"/>
          <w:sz w:val="24"/>
          <w:szCs w:val="24"/>
        </w:rPr>
        <w:t xml:space="preserve">, senza tralasciare gli impatti </w:t>
      </w:r>
      <w:proofErr w:type="gramStart"/>
      <w:r w:rsidR="0062023E">
        <w:rPr>
          <w:rFonts w:asciiTheme="minorHAnsi" w:eastAsiaTheme="minorHAnsi" w:hAnsiTheme="minorHAnsi" w:cstheme="minorBidi"/>
          <w:i/>
          <w:iCs/>
          <w:color w:val="auto"/>
          <w:sz w:val="24"/>
          <w:szCs w:val="24"/>
        </w:rPr>
        <w:t>sui principali ratio</w:t>
      </w:r>
      <w:proofErr w:type="gramEnd"/>
      <w:r w:rsidR="0062023E">
        <w:rPr>
          <w:rFonts w:asciiTheme="minorHAnsi" w:eastAsiaTheme="minorHAnsi" w:hAnsiTheme="minorHAnsi" w:cstheme="minorBidi"/>
          <w:i/>
          <w:iCs/>
          <w:color w:val="auto"/>
          <w:sz w:val="24"/>
          <w:szCs w:val="24"/>
        </w:rPr>
        <w:t xml:space="preserve"> di bilancio.</w:t>
      </w:r>
    </w:p>
    <w:p w14:paraId="552665FE" w14:textId="3A078FFB" w:rsidR="007F7102" w:rsidRDefault="00A81D5D" w:rsidP="002E3105">
      <w:pPr>
        <w:pStyle w:val="Titolo2"/>
      </w:pPr>
      <w:r>
        <w:t>Dividendi o compensi una scelta complessa</w:t>
      </w:r>
    </w:p>
    <w:p w14:paraId="5B3AFC04" w14:textId="2238059B" w:rsidR="00362A23" w:rsidRDefault="00362A23" w:rsidP="00C44FC2">
      <w:pPr>
        <w:jc w:val="both"/>
      </w:pPr>
      <w:r>
        <w:t xml:space="preserve">La scelta tra </w:t>
      </w:r>
      <w:r w:rsidRPr="00932459">
        <w:rPr>
          <w:b/>
          <w:bCs/>
        </w:rPr>
        <w:t xml:space="preserve">dividendi e </w:t>
      </w:r>
      <w:r w:rsidR="00AE5744" w:rsidRPr="00932459">
        <w:rPr>
          <w:b/>
          <w:bCs/>
        </w:rPr>
        <w:t>compensi</w:t>
      </w:r>
      <w:r w:rsidR="00AE5744">
        <w:t xml:space="preserve"> si presenta ogniqualvolta un soggetto socio e amministratore </w:t>
      </w:r>
      <w:r w:rsidR="00AF7540">
        <w:t>vuole incassare del denaro per l’attività svolta.</w:t>
      </w:r>
      <w:r w:rsidR="00EB1D48">
        <w:t xml:space="preserve"> In tal caso andranno confrontati gli effetti sulla sfera personale della </w:t>
      </w:r>
      <w:r w:rsidR="00EB1D48" w:rsidRPr="00932459">
        <w:rPr>
          <w:b/>
          <w:bCs/>
        </w:rPr>
        <w:t>persona fisica</w:t>
      </w:r>
      <w:r w:rsidR="00CC3138" w:rsidRPr="00CC3138">
        <w:t>,</w:t>
      </w:r>
      <w:r w:rsidR="00EB1D48">
        <w:t xml:space="preserve"> che </w:t>
      </w:r>
      <w:r w:rsidR="00042877">
        <w:t xml:space="preserve">sarà interessato prevalentemente al </w:t>
      </w:r>
      <w:r w:rsidR="00042877" w:rsidRPr="00932459">
        <w:rPr>
          <w:b/>
          <w:bCs/>
        </w:rPr>
        <w:t>netto percepito</w:t>
      </w:r>
      <w:r w:rsidR="00CC3138" w:rsidRPr="00CC3138">
        <w:t>,</w:t>
      </w:r>
      <w:r w:rsidR="00042877">
        <w:t xml:space="preserve"> con quelli della </w:t>
      </w:r>
      <w:r w:rsidR="00932459">
        <w:rPr>
          <w:b/>
          <w:bCs/>
        </w:rPr>
        <w:t xml:space="preserve">persona giuridica </w:t>
      </w:r>
      <w:r w:rsidR="00042877">
        <w:t xml:space="preserve">che dovrà subire </w:t>
      </w:r>
      <w:r w:rsidR="00AB714E">
        <w:t xml:space="preserve">l’eventuale </w:t>
      </w:r>
      <w:r w:rsidR="00AB714E" w:rsidRPr="00932459">
        <w:rPr>
          <w:b/>
          <w:bCs/>
        </w:rPr>
        <w:t>carico contributivo legato all’emolumento</w:t>
      </w:r>
      <w:r w:rsidR="00AB714E">
        <w:t xml:space="preserve"> o le </w:t>
      </w:r>
      <w:r w:rsidR="00AB714E" w:rsidRPr="00932459">
        <w:rPr>
          <w:b/>
          <w:bCs/>
        </w:rPr>
        <w:t>maggiori imposte da assenza di compenso</w:t>
      </w:r>
      <w:r w:rsidR="00AB714E">
        <w:t>.</w:t>
      </w:r>
    </w:p>
    <w:p w14:paraId="3082E690" w14:textId="5A2E5B89" w:rsidR="00C44FC2" w:rsidRDefault="00AB714E" w:rsidP="00C44FC2">
      <w:pPr>
        <w:jc w:val="both"/>
      </w:pPr>
      <w:r>
        <w:t xml:space="preserve">Per </w:t>
      </w:r>
      <w:r w:rsidR="00700551">
        <w:t xml:space="preserve">analizzare a fondo </w:t>
      </w:r>
      <w:r>
        <w:t>le differenze</w:t>
      </w:r>
      <w:r w:rsidR="00700551">
        <w:t>,</w:t>
      </w:r>
      <w:r>
        <w:t xml:space="preserve"> abbiamo ipotizzato un’azienda </w:t>
      </w:r>
      <w:r w:rsidR="00DF0CDC" w:rsidRPr="00DF0CDC">
        <w:rPr>
          <w:b/>
          <w:bCs/>
        </w:rPr>
        <w:t>non agricola</w:t>
      </w:r>
      <w:r w:rsidR="00CC3138" w:rsidRPr="00CC3138">
        <w:t>,</w:t>
      </w:r>
      <w:r w:rsidR="00DF0CDC">
        <w:t xml:space="preserve"> </w:t>
      </w:r>
      <w:r>
        <w:t xml:space="preserve">con un risultato di </w:t>
      </w:r>
      <w:r w:rsidRPr="00DF0CDC">
        <w:rPr>
          <w:b/>
          <w:bCs/>
        </w:rPr>
        <w:t>500.000</w:t>
      </w:r>
      <w:r>
        <w:t xml:space="preserve"> al lordo di eventuali compensi</w:t>
      </w:r>
      <w:r w:rsidR="00CC3138">
        <w:t>,</w:t>
      </w:r>
      <w:r>
        <w:t xml:space="preserve"> </w:t>
      </w:r>
      <w:r w:rsidR="00874BFE">
        <w:t xml:space="preserve">indecisa se distribuire un dividendo di </w:t>
      </w:r>
      <w:r w:rsidR="00874BFE" w:rsidRPr="00DF0CDC">
        <w:rPr>
          <w:b/>
          <w:bCs/>
        </w:rPr>
        <w:t>200.000 lordi</w:t>
      </w:r>
      <w:r w:rsidR="00874BFE">
        <w:t xml:space="preserve"> o erogare un compenso lordo di pari importo</w:t>
      </w:r>
      <w:r w:rsidR="002B32DE">
        <w:t xml:space="preserve"> a un amministratore socio</w:t>
      </w:r>
      <w:r w:rsidR="00DF0CDC">
        <w:t xml:space="preserve"> privo di anzianità contributiva all’01/01/1996 </w:t>
      </w:r>
      <w:r w:rsidR="00DF0CDC" w:rsidRPr="00DF0CDC">
        <w:rPr>
          <w:b/>
          <w:bCs/>
        </w:rPr>
        <w:t>e con attività prevalente</w:t>
      </w:r>
      <w:r w:rsidR="00DF0CDC">
        <w:t xml:space="preserve"> prestata in azienda</w:t>
      </w:r>
      <w:r w:rsidR="00790781">
        <w:t>. Il caso è stato affrontato e risolto con i</w:t>
      </w:r>
      <w:r w:rsidR="00C44FC2" w:rsidRPr="002E3105">
        <w:t xml:space="preserve">l tool </w:t>
      </w:r>
      <w:r w:rsidR="00C44FC2" w:rsidRPr="006E4FD6">
        <w:rPr>
          <w:i/>
          <w:iCs/>
        </w:rPr>
        <w:t>DividendiCompensi_24</w:t>
      </w:r>
      <w:r w:rsidR="00C44FC2" w:rsidRPr="002E3105">
        <w:t xml:space="preserve"> </w:t>
      </w:r>
      <w:r w:rsidR="00790781">
        <w:t xml:space="preserve">che </w:t>
      </w:r>
      <w:r w:rsidR="00C44FC2" w:rsidRPr="002E3105">
        <w:t>consente di simulare in modo dettagliato gli effetti economici, fiscali e contributivi derivanti da</w:t>
      </w:r>
      <w:r w:rsidR="00790781">
        <w:t>lle</w:t>
      </w:r>
      <w:r w:rsidR="00C44FC2" w:rsidRPr="002E3105">
        <w:t xml:space="preserve"> due scelte</w:t>
      </w:r>
      <w:r w:rsidR="00790781">
        <w:t>.</w:t>
      </w:r>
    </w:p>
    <w:p w14:paraId="40ADFF51" w14:textId="41D9D56F" w:rsidR="00790781" w:rsidRPr="002E3105" w:rsidRDefault="001E60EE" w:rsidP="00C44FC2">
      <w:pPr>
        <w:jc w:val="both"/>
      </w:pPr>
      <w:r>
        <w:t xml:space="preserve">Il giudizio sulla strada da percorrere dovrà tenere conto di </w:t>
      </w:r>
      <w:r w:rsidRPr="00DE5B17">
        <w:rPr>
          <w:b/>
          <w:bCs/>
        </w:rPr>
        <w:t>aspetti fiscali e contributivi</w:t>
      </w:r>
      <w:r>
        <w:t xml:space="preserve"> in capo alla società e al socio </w:t>
      </w:r>
      <w:r w:rsidR="00C24533">
        <w:t>nonché di eventuali ricadute finanziarie sul rating di impresa.</w:t>
      </w:r>
    </w:p>
    <w:p w14:paraId="4CB87ACB" w14:textId="4492F74F" w:rsidR="00B25E01" w:rsidRPr="002E3105" w:rsidRDefault="00B25E01" w:rsidP="002E3105">
      <w:pPr>
        <w:pStyle w:val="Titolo2"/>
      </w:pPr>
      <w:r w:rsidRPr="002E3105">
        <w:t>INPS e socio di Srl: il nodo della doppia contribuzione</w:t>
      </w:r>
    </w:p>
    <w:p w14:paraId="1F3D6545" w14:textId="77777777" w:rsidR="00771379" w:rsidRPr="00771379" w:rsidRDefault="00771379" w:rsidP="00771379">
      <w:pPr>
        <w:jc w:val="both"/>
      </w:pPr>
      <w:r w:rsidRPr="00771379">
        <w:t>La Cassazione con la sentenza n. 1759/2021 ha chiarito che la doppia contribuzione INPS non è automatica, ma dipende dall'attività concretamente svolta. Vediamo i quattro scenari possibili: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2262"/>
        <w:gridCol w:w="955"/>
        <w:gridCol w:w="1932"/>
      </w:tblGrid>
      <w:tr w:rsidR="00771379" w:rsidRPr="00771379" w14:paraId="161F3408" w14:textId="77777777" w:rsidTr="00771379">
        <w:trPr>
          <w:tblHeader/>
          <w:tblCellSpacing w:w="15" w:type="dxa"/>
        </w:trPr>
        <w:tc>
          <w:tcPr>
            <w:tcW w:w="0" w:type="auto"/>
            <w:vAlign w:val="center"/>
            <w:hideMark/>
          </w:tcPr>
          <w:p w14:paraId="1162C3A3" w14:textId="77777777" w:rsidR="00771379" w:rsidRPr="00771379" w:rsidRDefault="00771379" w:rsidP="00771379">
            <w:pPr>
              <w:jc w:val="both"/>
              <w:rPr>
                <w:b/>
                <w:bCs/>
                <w:sz w:val="18"/>
                <w:szCs w:val="18"/>
              </w:rPr>
            </w:pPr>
            <w:r w:rsidRPr="00771379">
              <w:rPr>
                <w:b/>
                <w:bCs/>
                <w:sz w:val="18"/>
                <w:szCs w:val="18"/>
              </w:rPr>
              <w:t>Scenario</w:t>
            </w:r>
          </w:p>
        </w:tc>
        <w:tc>
          <w:tcPr>
            <w:tcW w:w="0" w:type="auto"/>
            <w:vAlign w:val="center"/>
            <w:hideMark/>
          </w:tcPr>
          <w:p w14:paraId="14F80734" w14:textId="77777777" w:rsidR="00771379" w:rsidRPr="00771379" w:rsidRDefault="00771379" w:rsidP="00771379">
            <w:pPr>
              <w:jc w:val="both"/>
              <w:rPr>
                <w:b/>
                <w:bCs/>
                <w:sz w:val="18"/>
                <w:szCs w:val="18"/>
              </w:rPr>
            </w:pPr>
            <w:r w:rsidRPr="00771379">
              <w:rPr>
                <w:b/>
                <w:bCs/>
                <w:sz w:val="18"/>
                <w:szCs w:val="18"/>
              </w:rPr>
              <w:t>Attività svolta</w:t>
            </w:r>
          </w:p>
        </w:tc>
        <w:tc>
          <w:tcPr>
            <w:tcW w:w="0" w:type="auto"/>
            <w:vAlign w:val="center"/>
            <w:hideMark/>
          </w:tcPr>
          <w:p w14:paraId="0A391835" w14:textId="77777777" w:rsidR="00771379" w:rsidRPr="00771379" w:rsidRDefault="00771379" w:rsidP="00771379">
            <w:pPr>
              <w:jc w:val="both"/>
              <w:rPr>
                <w:b/>
                <w:bCs/>
                <w:sz w:val="18"/>
                <w:szCs w:val="18"/>
              </w:rPr>
            </w:pPr>
            <w:r w:rsidRPr="00771379">
              <w:rPr>
                <w:b/>
                <w:bCs/>
                <w:sz w:val="18"/>
                <w:szCs w:val="18"/>
              </w:rPr>
              <w:t>Compenso</w:t>
            </w:r>
          </w:p>
        </w:tc>
        <w:tc>
          <w:tcPr>
            <w:tcW w:w="0" w:type="auto"/>
            <w:vAlign w:val="center"/>
            <w:hideMark/>
          </w:tcPr>
          <w:p w14:paraId="4B625337" w14:textId="77777777" w:rsidR="00771379" w:rsidRPr="00771379" w:rsidRDefault="00771379" w:rsidP="00771379">
            <w:pPr>
              <w:jc w:val="both"/>
              <w:rPr>
                <w:b/>
                <w:bCs/>
                <w:sz w:val="18"/>
                <w:szCs w:val="18"/>
              </w:rPr>
            </w:pPr>
            <w:r w:rsidRPr="00771379">
              <w:rPr>
                <w:b/>
                <w:bCs/>
                <w:sz w:val="18"/>
                <w:szCs w:val="18"/>
              </w:rPr>
              <w:t>Contribuzione dovuta</w:t>
            </w:r>
          </w:p>
        </w:tc>
      </w:tr>
      <w:tr w:rsidR="00771379" w:rsidRPr="00771379" w14:paraId="15A1B2F8" w14:textId="77777777" w:rsidTr="00771379">
        <w:trPr>
          <w:tblCellSpacing w:w="15" w:type="dxa"/>
        </w:trPr>
        <w:tc>
          <w:tcPr>
            <w:tcW w:w="0" w:type="auto"/>
            <w:vAlign w:val="center"/>
            <w:hideMark/>
          </w:tcPr>
          <w:p w14:paraId="461BE295" w14:textId="77777777" w:rsidR="00771379" w:rsidRPr="00771379" w:rsidRDefault="00771379" w:rsidP="00771379">
            <w:pPr>
              <w:jc w:val="both"/>
              <w:rPr>
                <w:sz w:val="18"/>
                <w:szCs w:val="18"/>
              </w:rPr>
            </w:pPr>
            <w:r w:rsidRPr="00771379">
              <w:rPr>
                <w:b/>
                <w:bCs/>
                <w:sz w:val="18"/>
                <w:szCs w:val="18"/>
              </w:rPr>
              <w:t>1</w:t>
            </w:r>
          </w:p>
        </w:tc>
        <w:tc>
          <w:tcPr>
            <w:tcW w:w="0" w:type="auto"/>
            <w:vAlign w:val="center"/>
            <w:hideMark/>
          </w:tcPr>
          <w:p w14:paraId="36D05981" w14:textId="77777777" w:rsidR="00771379" w:rsidRPr="00771379" w:rsidRDefault="00771379" w:rsidP="00771379">
            <w:pPr>
              <w:jc w:val="both"/>
              <w:rPr>
                <w:sz w:val="18"/>
                <w:szCs w:val="18"/>
              </w:rPr>
            </w:pPr>
            <w:r w:rsidRPr="00771379">
              <w:rPr>
                <w:sz w:val="18"/>
                <w:szCs w:val="18"/>
              </w:rPr>
              <w:t>Amministrazione + operativa</w:t>
            </w:r>
          </w:p>
        </w:tc>
        <w:tc>
          <w:tcPr>
            <w:tcW w:w="0" w:type="auto"/>
            <w:vAlign w:val="center"/>
            <w:hideMark/>
          </w:tcPr>
          <w:p w14:paraId="72066880" w14:textId="77777777" w:rsidR="00771379" w:rsidRPr="00771379" w:rsidRDefault="00771379" w:rsidP="00771379">
            <w:pPr>
              <w:jc w:val="both"/>
              <w:rPr>
                <w:sz w:val="18"/>
                <w:szCs w:val="18"/>
              </w:rPr>
            </w:pPr>
            <w:r w:rsidRPr="00771379">
              <w:rPr>
                <w:rFonts w:ascii="Segoe UI Emoji" w:hAnsi="Segoe UI Emoji" w:cs="Segoe UI Emoji"/>
                <w:sz w:val="18"/>
                <w:szCs w:val="18"/>
              </w:rPr>
              <w:t>✅</w:t>
            </w:r>
            <w:r w:rsidRPr="00771379">
              <w:rPr>
                <w:sz w:val="18"/>
                <w:szCs w:val="18"/>
              </w:rPr>
              <w:t xml:space="preserve"> Sì</w:t>
            </w:r>
          </w:p>
        </w:tc>
        <w:tc>
          <w:tcPr>
            <w:tcW w:w="0" w:type="auto"/>
            <w:vAlign w:val="center"/>
            <w:hideMark/>
          </w:tcPr>
          <w:p w14:paraId="7AE3F101" w14:textId="77777777" w:rsidR="00771379" w:rsidRPr="00771379" w:rsidRDefault="00771379" w:rsidP="00771379">
            <w:pPr>
              <w:jc w:val="both"/>
              <w:rPr>
                <w:sz w:val="18"/>
                <w:szCs w:val="18"/>
              </w:rPr>
            </w:pPr>
            <w:r w:rsidRPr="00771379">
              <w:rPr>
                <w:sz w:val="18"/>
                <w:szCs w:val="18"/>
              </w:rPr>
              <w:t>Gestione Separata + IVS</w:t>
            </w:r>
          </w:p>
        </w:tc>
      </w:tr>
      <w:tr w:rsidR="00771379" w:rsidRPr="00771379" w14:paraId="21774225" w14:textId="77777777" w:rsidTr="00771379">
        <w:trPr>
          <w:tblCellSpacing w:w="15" w:type="dxa"/>
        </w:trPr>
        <w:tc>
          <w:tcPr>
            <w:tcW w:w="0" w:type="auto"/>
            <w:vAlign w:val="center"/>
            <w:hideMark/>
          </w:tcPr>
          <w:p w14:paraId="775B9474" w14:textId="77777777" w:rsidR="00771379" w:rsidRPr="00771379" w:rsidRDefault="00771379" w:rsidP="00771379">
            <w:pPr>
              <w:jc w:val="both"/>
              <w:rPr>
                <w:sz w:val="18"/>
                <w:szCs w:val="18"/>
              </w:rPr>
            </w:pPr>
            <w:r w:rsidRPr="00771379">
              <w:rPr>
                <w:b/>
                <w:bCs/>
                <w:sz w:val="18"/>
                <w:szCs w:val="18"/>
              </w:rPr>
              <w:t>2</w:t>
            </w:r>
          </w:p>
        </w:tc>
        <w:tc>
          <w:tcPr>
            <w:tcW w:w="0" w:type="auto"/>
            <w:vAlign w:val="center"/>
            <w:hideMark/>
          </w:tcPr>
          <w:p w14:paraId="0F5B2778" w14:textId="77777777" w:rsidR="00771379" w:rsidRPr="00771379" w:rsidRDefault="00771379" w:rsidP="00771379">
            <w:pPr>
              <w:jc w:val="both"/>
              <w:rPr>
                <w:sz w:val="18"/>
                <w:szCs w:val="18"/>
              </w:rPr>
            </w:pPr>
            <w:r w:rsidRPr="00771379">
              <w:rPr>
                <w:sz w:val="18"/>
                <w:szCs w:val="18"/>
              </w:rPr>
              <w:t>Solo amministrazione</w:t>
            </w:r>
          </w:p>
        </w:tc>
        <w:tc>
          <w:tcPr>
            <w:tcW w:w="0" w:type="auto"/>
            <w:vAlign w:val="center"/>
            <w:hideMark/>
          </w:tcPr>
          <w:p w14:paraId="3705EDDA" w14:textId="77777777" w:rsidR="00771379" w:rsidRPr="00771379" w:rsidRDefault="00771379" w:rsidP="00771379">
            <w:pPr>
              <w:jc w:val="both"/>
              <w:rPr>
                <w:sz w:val="18"/>
                <w:szCs w:val="18"/>
              </w:rPr>
            </w:pPr>
            <w:r w:rsidRPr="00771379">
              <w:rPr>
                <w:rFonts w:ascii="Segoe UI Emoji" w:hAnsi="Segoe UI Emoji" w:cs="Segoe UI Emoji"/>
                <w:sz w:val="18"/>
                <w:szCs w:val="18"/>
              </w:rPr>
              <w:t>✅</w:t>
            </w:r>
            <w:r w:rsidRPr="00771379">
              <w:rPr>
                <w:sz w:val="18"/>
                <w:szCs w:val="18"/>
              </w:rPr>
              <w:t xml:space="preserve"> Sì</w:t>
            </w:r>
          </w:p>
        </w:tc>
        <w:tc>
          <w:tcPr>
            <w:tcW w:w="0" w:type="auto"/>
            <w:vAlign w:val="center"/>
            <w:hideMark/>
          </w:tcPr>
          <w:p w14:paraId="79829411" w14:textId="77777777" w:rsidR="00771379" w:rsidRPr="00771379" w:rsidRDefault="00771379" w:rsidP="00771379">
            <w:pPr>
              <w:jc w:val="both"/>
              <w:rPr>
                <w:sz w:val="18"/>
                <w:szCs w:val="18"/>
              </w:rPr>
            </w:pPr>
            <w:r w:rsidRPr="00771379">
              <w:rPr>
                <w:sz w:val="18"/>
                <w:szCs w:val="18"/>
              </w:rPr>
              <w:t>Solo Gestione Separata</w:t>
            </w:r>
          </w:p>
        </w:tc>
      </w:tr>
      <w:tr w:rsidR="00771379" w:rsidRPr="00771379" w14:paraId="0581CA1B" w14:textId="77777777" w:rsidTr="00771379">
        <w:trPr>
          <w:tblCellSpacing w:w="15" w:type="dxa"/>
        </w:trPr>
        <w:tc>
          <w:tcPr>
            <w:tcW w:w="0" w:type="auto"/>
            <w:vAlign w:val="center"/>
            <w:hideMark/>
          </w:tcPr>
          <w:p w14:paraId="7731438E" w14:textId="77777777" w:rsidR="00771379" w:rsidRPr="00771379" w:rsidRDefault="00771379" w:rsidP="00771379">
            <w:pPr>
              <w:jc w:val="both"/>
              <w:rPr>
                <w:sz w:val="18"/>
                <w:szCs w:val="18"/>
              </w:rPr>
            </w:pPr>
            <w:r w:rsidRPr="00771379">
              <w:rPr>
                <w:b/>
                <w:bCs/>
                <w:sz w:val="18"/>
                <w:szCs w:val="18"/>
              </w:rPr>
              <w:lastRenderedPageBreak/>
              <w:t>3</w:t>
            </w:r>
          </w:p>
        </w:tc>
        <w:tc>
          <w:tcPr>
            <w:tcW w:w="0" w:type="auto"/>
            <w:vAlign w:val="center"/>
            <w:hideMark/>
          </w:tcPr>
          <w:p w14:paraId="37F98EAE" w14:textId="77777777" w:rsidR="00771379" w:rsidRPr="00771379" w:rsidRDefault="00771379" w:rsidP="00771379">
            <w:pPr>
              <w:jc w:val="both"/>
              <w:rPr>
                <w:sz w:val="18"/>
                <w:szCs w:val="18"/>
              </w:rPr>
            </w:pPr>
            <w:r w:rsidRPr="00771379">
              <w:rPr>
                <w:sz w:val="18"/>
                <w:szCs w:val="18"/>
              </w:rPr>
              <w:t>Solo operativa</w:t>
            </w:r>
          </w:p>
        </w:tc>
        <w:tc>
          <w:tcPr>
            <w:tcW w:w="0" w:type="auto"/>
            <w:vAlign w:val="center"/>
            <w:hideMark/>
          </w:tcPr>
          <w:p w14:paraId="7BE378DB" w14:textId="77777777" w:rsidR="00771379" w:rsidRPr="00771379" w:rsidRDefault="00771379" w:rsidP="00771379">
            <w:pPr>
              <w:jc w:val="both"/>
              <w:rPr>
                <w:sz w:val="18"/>
                <w:szCs w:val="18"/>
              </w:rPr>
            </w:pPr>
            <w:r w:rsidRPr="00771379">
              <w:rPr>
                <w:rFonts w:ascii="Segoe UI Emoji" w:hAnsi="Segoe UI Emoji" w:cs="Segoe UI Emoji"/>
                <w:sz w:val="18"/>
                <w:szCs w:val="18"/>
              </w:rPr>
              <w:t>❌</w:t>
            </w:r>
            <w:r w:rsidRPr="00771379">
              <w:rPr>
                <w:sz w:val="18"/>
                <w:szCs w:val="18"/>
              </w:rPr>
              <w:t xml:space="preserve"> No</w:t>
            </w:r>
          </w:p>
        </w:tc>
        <w:tc>
          <w:tcPr>
            <w:tcW w:w="0" w:type="auto"/>
            <w:vAlign w:val="center"/>
            <w:hideMark/>
          </w:tcPr>
          <w:p w14:paraId="60A06CFB" w14:textId="77777777" w:rsidR="00771379" w:rsidRPr="00771379" w:rsidRDefault="00771379" w:rsidP="00771379">
            <w:pPr>
              <w:jc w:val="both"/>
              <w:rPr>
                <w:sz w:val="18"/>
                <w:szCs w:val="18"/>
              </w:rPr>
            </w:pPr>
            <w:r w:rsidRPr="00771379">
              <w:rPr>
                <w:sz w:val="18"/>
                <w:szCs w:val="18"/>
              </w:rPr>
              <w:t>Solo IVS</w:t>
            </w:r>
          </w:p>
        </w:tc>
      </w:tr>
      <w:tr w:rsidR="00771379" w:rsidRPr="00771379" w14:paraId="050398BF" w14:textId="77777777" w:rsidTr="00771379">
        <w:trPr>
          <w:tblCellSpacing w:w="15" w:type="dxa"/>
        </w:trPr>
        <w:tc>
          <w:tcPr>
            <w:tcW w:w="0" w:type="auto"/>
            <w:vAlign w:val="center"/>
            <w:hideMark/>
          </w:tcPr>
          <w:p w14:paraId="5F331705" w14:textId="77777777" w:rsidR="00771379" w:rsidRPr="00771379" w:rsidRDefault="00771379" w:rsidP="00771379">
            <w:pPr>
              <w:jc w:val="both"/>
              <w:rPr>
                <w:sz w:val="18"/>
                <w:szCs w:val="18"/>
              </w:rPr>
            </w:pPr>
            <w:r w:rsidRPr="00771379">
              <w:rPr>
                <w:b/>
                <w:bCs/>
                <w:sz w:val="18"/>
                <w:szCs w:val="18"/>
              </w:rPr>
              <w:t>4</w:t>
            </w:r>
          </w:p>
        </w:tc>
        <w:tc>
          <w:tcPr>
            <w:tcW w:w="0" w:type="auto"/>
            <w:vAlign w:val="center"/>
            <w:hideMark/>
          </w:tcPr>
          <w:p w14:paraId="4606F0E9" w14:textId="77777777" w:rsidR="00771379" w:rsidRPr="00771379" w:rsidRDefault="00771379" w:rsidP="00771379">
            <w:pPr>
              <w:jc w:val="both"/>
              <w:rPr>
                <w:sz w:val="18"/>
                <w:szCs w:val="18"/>
              </w:rPr>
            </w:pPr>
            <w:r w:rsidRPr="00771379">
              <w:rPr>
                <w:sz w:val="18"/>
                <w:szCs w:val="18"/>
              </w:rPr>
              <w:t>Nessuna attività</w:t>
            </w:r>
          </w:p>
        </w:tc>
        <w:tc>
          <w:tcPr>
            <w:tcW w:w="0" w:type="auto"/>
            <w:vAlign w:val="center"/>
            <w:hideMark/>
          </w:tcPr>
          <w:p w14:paraId="1354E92C" w14:textId="77777777" w:rsidR="00771379" w:rsidRPr="00771379" w:rsidRDefault="00771379" w:rsidP="00771379">
            <w:pPr>
              <w:jc w:val="both"/>
              <w:rPr>
                <w:sz w:val="18"/>
                <w:szCs w:val="18"/>
              </w:rPr>
            </w:pPr>
            <w:r w:rsidRPr="00771379">
              <w:rPr>
                <w:rFonts w:ascii="Segoe UI Emoji" w:hAnsi="Segoe UI Emoji" w:cs="Segoe UI Emoji"/>
                <w:sz w:val="18"/>
                <w:szCs w:val="18"/>
              </w:rPr>
              <w:t>❌</w:t>
            </w:r>
            <w:r w:rsidRPr="00771379">
              <w:rPr>
                <w:sz w:val="18"/>
                <w:szCs w:val="18"/>
              </w:rPr>
              <w:t xml:space="preserve"> No</w:t>
            </w:r>
          </w:p>
        </w:tc>
        <w:tc>
          <w:tcPr>
            <w:tcW w:w="0" w:type="auto"/>
            <w:vAlign w:val="center"/>
            <w:hideMark/>
          </w:tcPr>
          <w:p w14:paraId="3B81FE3F" w14:textId="77777777" w:rsidR="00771379" w:rsidRPr="00771379" w:rsidRDefault="00771379" w:rsidP="00771379">
            <w:pPr>
              <w:jc w:val="both"/>
              <w:rPr>
                <w:sz w:val="18"/>
                <w:szCs w:val="18"/>
              </w:rPr>
            </w:pPr>
            <w:r w:rsidRPr="00771379">
              <w:rPr>
                <w:sz w:val="18"/>
                <w:szCs w:val="18"/>
              </w:rPr>
              <w:t>Nessuna</w:t>
            </w:r>
          </w:p>
        </w:tc>
      </w:tr>
    </w:tbl>
    <w:p w14:paraId="76079367" w14:textId="77F1ABEC" w:rsidR="00771379" w:rsidRPr="00771379" w:rsidRDefault="00771379" w:rsidP="00771379">
      <w:pPr>
        <w:jc w:val="both"/>
      </w:pPr>
      <w:r w:rsidRPr="00771379">
        <w:t xml:space="preserve">La doppia contribuzione scatta solo quando il socio svolge </w:t>
      </w:r>
      <w:r w:rsidRPr="00771379">
        <w:rPr>
          <w:b/>
          <w:bCs/>
        </w:rPr>
        <w:t>effettivamente</w:t>
      </w:r>
      <w:r w:rsidRPr="00771379">
        <w:t xml:space="preserve"> attività operativa abituale, non limitandosi alla mera amministrazione (es. supervisione, rapporti con clienti, assunzione dipendenti).</w:t>
      </w:r>
    </w:p>
    <w:p w14:paraId="3091ACB3" w14:textId="261F16EC" w:rsidR="00B376F9" w:rsidRPr="002E3105" w:rsidRDefault="00B376F9" w:rsidP="00A63A7E">
      <w:pPr>
        <w:jc w:val="both"/>
      </w:pPr>
      <w:r w:rsidRPr="002E3105">
        <w:t>L’INPS rappresenta una delle voci più incisive nel calcolo del netto percepito, soprattutto nei casi in cui si sovrappong</w:t>
      </w:r>
      <w:r w:rsidR="00DC27C0">
        <w:t>a</w:t>
      </w:r>
      <w:r w:rsidRPr="002E3105">
        <w:t xml:space="preserve">no </w:t>
      </w:r>
      <w:r w:rsidRPr="005C4CBF">
        <w:rPr>
          <w:b/>
          <w:bCs/>
        </w:rPr>
        <w:t>più gestioni</w:t>
      </w:r>
      <w:r w:rsidRPr="002E3105">
        <w:t>. A seconda dell’attività svolta nella società e della natura del reddito percepito, possono infatti concorrere la Gestione Separata (per il compenso da amministratore) e la Gestione IVS artigiani/commercianti (per l’attività abituale e prevalente nell’impresa). La corretta individuazione dell’obbligo contributivo consente di quantificare con precisione il carico previdenziale e valutarne l’impatto economico sul socio e sulla società.</w:t>
      </w:r>
    </w:p>
    <w:p w14:paraId="3536C688" w14:textId="5C0A2D9F" w:rsidR="00B376F9" w:rsidRPr="002E3105" w:rsidRDefault="00097713" w:rsidP="00A63A7E">
      <w:pPr>
        <w:keepNext/>
        <w:jc w:val="both"/>
      </w:pPr>
      <w:r>
        <w:rPr>
          <w:noProof/>
        </w:rPr>
        <w:drawing>
          <wp:inline distT="0" distB="0" distL="0" distR="0" wp14:anchorId="0D852566" wp14:editId="589D78CE">
            <wp:extent cx="6120130" cy="1606951"/>
            <wp:effectExtent l="0" t="0" r="0" b="0"/>
            <wp:docPr id="405320767"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20767" name="Immagine 1" descr="Immagine che contiene testo, Carattere, linea, numero&#10;&#10;Il contenuto generato dall'IA potrebbe non essere corretto."/>
                    <pic:cNvPicPr/>
                  </pic:nvPicPr>
                  <pic:blipFill rotWithShape="1">
                    <a:blip r:embed="rId9"/>
                    <a:srcRect t="10610"/>
                    <a:stretch>
                      <a:fillRect/>
                    </a:stretch>
                  </pic:blipFill>
                  <pic:spPr bwMode="auto">
                    <a:xfrm>
                      <a:off x="0" y="0"/>
                      <a:ext cx="6120130" cy="1606951"/>
                    </a:xfrm>
                    <a:prstGeom prst="rect">
                      <a:avLst/>
                    </a:prstGeom>
                    <a:ln>
                      <a:noFill/>
                    </a:ln>
                    <a:extLst>
                      <a:ext uri="{53640926-AAD7-44D8-BBD7-CCE9431645EC}">
                        <a14:shadowObscured xmlns:a14="http://schemas.microsoft.com/office/drawing/2010/main"/>
                      </a:ext>
                    </a:extLst>
                  </pic:spPr>
                </pic:pic>
              </a:graphicData>
            </a:graphic>
          </wp:inline>
        </w:drawing>
      </w:r>
    </w:p>
    <w:p w14:paraId="5C950C7A" w14:textId="2D3DF0C4" w:rsidR="00B376F9" w:rsidRPr="002E3105" w:rsidRDefault="00B376F9" w:rsidP="00A63A7E">
      <w:pPr>
        <w:pStyle w:val="Didascalia"/>
        <w:jc w:val="both"/>
        <w:rPr>
          <w:sz w:val="20"/>
          <w:szCs w:val="20"/>
        </w:rPr>
      </w:pPr>
      <w:r w:rsidRPr="002E3105">
        <w:rPr>
          <w:sz w:val="20"/>
          <w:szCs w:val="20"/>
        </w:rPr>
        <w:t xml:space="preserve">Figura </w:t>
      </w:r>
      <w:r w:rsidRPr="002E3105">
        <w:rPr>
          <w:sz w:val="20"/>
          <w:szCs w:val="20"/>
        </w:rPr>
        <w:fldChar w:fldCharType="begin"/>
      </w:r>
      <w:r w:rsidRPr="002E3105">
        <w:rPr>
          <w:sz w:val="20"/>
          <w:szCs w:val="20"/>
        </w:rPr>
        <w:instrText xml:space="preserve"> SEQ Figura \* ARABIC </w:instrText>
      </w:r>
      <w:r w:rsidRPr="002E3105">
        <w:rPr>
          <w:sz w:val="20"/>
          <w:szCs w:val="20"/>
        </w:rPr>
        <w:fldChar w:fldCharType="separate"/>
      </w:r>
      <w:r w:rsidR="0040730A">
        <w:rPr>
          <w:noProof/>
          <w:sz w:val="20"/>
          <w:szCs w:val="20"/>
        </w:rPr>
        <w:t>1</w:t>
      </w:r>
      <w:r w:rsidRPr="002E3105">
        <w:rPr>
          <w:sz w:val="20"/>
          <w:szCs w:val="20"/>
        </w:rPr>
        <w:fldChar w:fldCharType="end"/>
      </w:r>
      <w:r w:rsidRPr="002E3105">
        <w:rPr>
          <w:sz w:val="20"/>
          <w:szCs w:val="20"/>
        </w:rPr>
        <w:t xml:space="preserve">: </w:t>
      </w:r>
      <w:r w:rsidR="00B452F1">
        <w:rPr>
          <w:sz w:val="20"/>
          <w:szCs w:val="20"/>
        </w:rPr>
        <w:t>Il contributo IVS</w:t>
      </w:r>
    </w:p>
    <w:p w14:paraId="3F9A7362" w14:textId="77777777" w:rsidR="00BA5A1B" w:rsidRPr="00BA5A1B" w:rsidRDefault="00BA5A1B" w:rsidP="00BA5A1B">
      <w:pPr>
        <w:jc w:val="both"/>
      </w:pPr>
      <w:r w:rsidRPr="00BA5A1B">
        <w:t>Nel caso esaminato, il socio-amministratore è soggetto a doppia contribuzione perché svolge sia attività amministrativa che operativa. Vediamo il calcolo:</w:t>
      </w:r>
    </w:p>
    <w:p w14:paraId="234941FB" w14:textId="07662A66" w:rsidR="00BA5A1B" w:rsidRPr="00BA5A1B" w:rsidRDefault="00BA5A1B" w:rsidP="00BA5A1B">
      <w:pPr>
        <w:jc w:val="both"/>
        <w:rPr>
          <w:i/>
          <w:iCs/>
        </w:rPr>
      </w:pPr>
      <w:r w:rsidRPr="00BA5A1B">
        <w:rPr>
          <w:i/>
          <w:iCs/>
        </w:rPr>
        <w:t>GESTIONE SEPARATA (per il compenso da amministratore)</w:t>
      </w:r>
    </w:p>
    <w:p w14:paraId="4C7509AF" w14:textId="4BC84722" w:rsidR="00BA5A1B" w:rsidRPr="00BA5A1B" w:rsidRDefault="00BA5A1B" w:rsidP="00BA5A1B">
      <w:pPr>
        <w:numPr>
          <w:ilvl w:val="0"/>
          <w:numId w:val="45"/>
        </w:numPr>
        <w:jc w:val="both"/>
      </w:pPr>
      <w:r w:rsidRPr="00BA5A1B">
        <w:t>Aliquota: 35,03%</w:t>
      </w:r>
      <w:r w:rsidR="00682B2B">
        <w:t xml:space="preserve"> (33% IVS + Malattia 0,50% + Maternità 0,22%</w:t>
      </w:r>
      <w:r w:rsidR="005956B4">
        <w:t>, DIS-COLL 1,31%)</w:t>
      </w:r>
    </w:p>
    <w:p w14:paraId="41014DB3" w14:textId="77777777" w:rsidR="00BA5A1B" w:rsidRPr="00BA5A1B" w:rsidRDefault="00BA5A1B" w:rsidP="00BA5A1B">
      <w:pPr>
        <w:numPr>
          <w:ilvl w:val="0"/>
          <w:numId w:val="45"/>
        </w:numPr>
        <w:jc w:val="both"/>
      </w:pPr>
      <w:r w:rsidRPr="00BA5A1B">
        <w:t>Massimale 2025: 120.607 euro</w:t>
      </w:r>
    </w:p>
    <w:p w14:paraId="6A0E9EAC" w14:textId="77777777" w:rsidR="00BA5A1B" w:rsidRPr="00BA5A1B" w:rsidRDefault="00BA5A1B" w:rsidP="00BA5A1B">
      <w:pPr>
        <w:numPr>
          <w:ilvl w:val="0"/>
          <w:numId w:val="45"/>
        </w:numPr>
        <w:jc w:val="both"/>
      </w:pPr>
      <w:r w:rsidRPr="00BA5A1B">
        <w:t xml:space="preserve">Contributo totale: 42.248 euro </w:t>
      </w:r>
    </w:p>
    <w:p w14:paraId="4DEA13BC" w14:textId="77777777" w:rsidR="00BA5A1B" w:rsidRPr="00BA5A1B" w:rsidRDefault="00BA5A1B" w:rsidP="00BA5A1B">
      <w:pPr>
        <w:numPr>
          <w:ilvl w:val="1"/>
          <w:numId w:val="45"/>
        </w:numPr>
        <w:jc w:val="both"/>
      </w:pPr>
      <w:r w:rsidRPr="00BA5A1B">
        <w:t>A carico società (2/3): 28.166 euro</w:t>
      </w:r>
    </w:p>
    <w:p w14:paraId="2803F8AD" w14:textId="77777777" w:rsidR="00BA5A1B" w:rsidRPr="00BA5A1B" w:rsidRDefault="00BA5A1B" w:rsidP="00BA5A1B">
      <w:pPr>
        <w:numPr>
          <w:ilvl w:val="1"/>
          <w:numId w:val="45"/>
        </w:numPr>
        <w:jc w:val="both"/>
      </w:pPr>
      <w:r w:rsidRPr="00BA5A1B">
        <w:t>A carico amministratore (1/3): 14.082 euro</w:t>
      </w:r>
    </w:p>
    <w:p w14:paraId="3B67D579" w14:textId="7575438C" w:rsidR="00BA5A1B" w:rsidRPr="00BA5A1B" w:rsidRDefault="00BA5A1B" w:rsidP="00BA5A1B">
      <w:pPr>
        <w:jc w:val="both"/>
        <w:rPr>
          <w:i/>
          <w:iCs/>
        </w:rPr>
      </w:pPr>
      <w:r w:rsidRPr="00BA5A1B">
        <w:rPr>
          <w:i/>
          <w:iCs/>
        </w:rPr>
        <w:t>GESTIONE IVS COMMERCIANTI (per l'attività operativa)</w:t>
      </w:r>
    </w:p>
    <w:p w14:paraId="19754785" w14:textId="77777777" w:rsidR="00BA5A1B" w:rsidRPr="00BA5A1B" w:rsidRDefault="00BA5A1B" w:rsidP="00BA5A1B">
      <w:pPr>
        <w:numPr>
          <w:ilvl w:val="0"/>
          <w:numId w:val="46"/>
        </w:numPr>
        <w:jc w:val="both"/>
      </w:pPr>
      <w:r w:rsidRPr="00BA5A1B">
        <w:t>Contributo totale: 30.184 euro</w:t>
      </w:r>
    </w:p>
    <w:p w14:paraId="43457483" w14:textId="77777777" w:rsidR="00BA5A1B" w:rsidRPr="00BA5A1B" w:rsidRDefault="00BA5A1B" w:rsidP="00BA5A1B">
      <w:pPr>
        <w:numPr>
          <w:ilvl w:val="0"/>
          <w:numId w:val="46"/>
        </w:numPr>
        <w:jc w:val="both"/>
      </w:pPr>
      <w:r w:rsidRPr="00BA5A1B">
        <w:t>Interamente a carico del socio</w:t>
      </w:r>
    </w:p>
    <w:p w14:paraId="5A938C19" w14:textId="77777777" w:rsidR="00BA5A1B" w:rsidRPr="00BA5A1B" w:rsidRDefault="00BA5A1B" w:rsidP="00BA5A1B">
      <w:pPr>
        <w:numPr>
          <w:ilvl w:val="0"/>
          <w:numId w:val="46"/>
        </w:numPr>
        <w:jc w:val="both"/>
      </w:pPr>
      <w:r w:rsidRPr="00BA5A1B">
        <w:t>Comprende: contributo fisso (4.550 euro) + contributo variabile (25.634 euro)</w:t>
      </w:r>
    </w:p>
    <w:p w14:paraId="6D7B7D2E" w14:textId="77777777" w:rsidR="00583285" w:rsidRDefault="007541CC" w:rsidP="00583285">
      <w:pPr>
        <w:jc w:val="both"/>
      </w:pPr>
      <w:r>
        <w:lastRenderedPageBreak/>
        <w:t xml:space="preserve">La contribuzione riduce </w:t>
      </w:r>
      <w:r w:rsidR="00B376F9" w:rsidRPr="002E3105">
        <w:t xml:space="preserve">in modo significativo </w:t>
      </w:r>
      <w:r>
        <w:t xml:space="preserve">sia </w:t>
      </w:r>
      <w:r w:rsidR="00B376F9" w:rsidRPr="002E3105">
        <w:t>il netto effettivamente disponibile per il socio</w:t>
      </w:r>
      <w:r>
        <w:t xml:space="preserve"> che l’imponibile fiscale</w:t>
      </w:r>
      <w:r w:rsidR="00583285">
        <w:t>.</w:t>
      </w:r>
    </w:p>
    <w:p w14:paraId="7429B4F4" w14:textId="222B347D" w:rsidR="008B04D5" w:rsidRPr="002E3105" w:rsidRDefault="005A0818" w:rsidP="00583285">
      <w:pPr>
        <w:jc w:val="both"/>
      </w:pPr>
      <w:r>
        <w:rPr>
          <w:noProof/>
        </w:rPr>
        <w:drawing>
          <wp:inline distT="0" distB="0" distL="0" distR="0" wp14:anchorId="197921DA" wp14:editId="144527E5">
            <wp:extent cx="6120130" cy="1691640"/>
            <wp:effectExtent l="0" t="0" r="0" b="3810"/>
            <wp:docPr id="435672171"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2171" name="Immagine 1" descr="Immagine che contiene testo, Carattere, linea, numero&#10;&#10;Il contenuto generato dall'IA potrebbe non essere corretto."/>
                    <pic:cNvPicPr/>
                  </pic:nvPicPr>
                  <pic:blipFill>
                    <a:blip r:embed="rId10"/>
                    <a:stretch>
                      <a:fillRect/>
                    </a:stretch>
                  </pic:blipFill>
                  <pic:spPr>
                    <a:xfrm>
                      <a:off x="0" y="0"/>
                      <a:ext cx="6120130" cy="1691640"/>
                    </a:xfrm>
                    <a:prstGeom prst="rect">
                      <a:avLst/>
                    </a:prstGeom>
                  </pic:spPr>
                </pic:pic>
              </a:graphicData>
            </a:graphic>
          </wp:inline>
        </w:drawing>
      </w:r>
    </w:p>
    <w:p w14:paraId="573A7187" w14:textId="62719388" w:rsidR="0068307A" w:rsidRDefault="0068307A" w:rsidP="00A63A7E">
      <w:pPr>
        <w:pStyle w:val="Didascalia"/>
        <w:jc w:val="both"/>
        <w:rPr>
          <w:sz w:val="20"/>
          <w:szCs w:val="20"/>
        </w:rPr>
      </w:pPr>
      <w:r w:rsidRPr="002E3105">
        <w:rPr>
          <w:sz w:val="20"/>
          <w:szCs w:val="20"/>
        </w:rPr>
        <w:t xml:space="preserve">Figura </w:t>
      </w:r>
      <w:r w:rsidRPr="002E3105">
        <w:rPr>
          <w:sz w:val="20"/>
          <w:szCs w:val="20"/>
        </w:rPr>
        <w:fldChar w:fldCharType="begin"/>
      </w:r>
      <w:r w:rsidRPr="002E3105">
        <w:rPr>
          <w:sz w:val="20"/>
          <w:szCs w:val="20"/>
        </w:rPr>
        <w:instrText xml:space="preserve"> SEQ Figura \* ARABIC </w:instrText>
      </w:r>
      <w:r w:rsidRPr="002E3105">
        <w:rPr>
          <w:sz w:val="20"/>
          <w:szCs w:val="20"/>
        </w:rPr>
        <w:fldChar w:fldCharType="separate"/>
      </w:r>
      <w:r w:rsidR="0040730A">
        <w:rPr>
          <w:noProof/>
          <w:sz w:val="20"/>
          <w:szCs w:val="20"/>
        </w:rPr>
        <w:t>2</w:t>
      </w:r>
      <w:r w:rsidRPr="002E3105">
        <w:rPr>
          <w:sz w:val="20"/>
          <w:szCs w:val="20"/>
        </w:rPr>
        <w:fldChar w:fldCharType="end"/>
      </w:r>
      <w:r w:rsidRPr="002E3105">
        <w:rPr>
          <w:sz w:val="20"/>
          <w:szCs w:val="20"/>
        </w:rPr>
        <w:t xml:space="preserve">: </w:t>
      </w:r>
      <w:r w:rsidR="005A0818">
        <w:rPr>
          <w:sz w:val="20"/>
          <w:szCs w:val="20"/>
        </w:rPr>
        <w:t>Imponibile e imposte</w:t>
      </w:r>
    </w:p>
    <w:p w14:paraId="26B90F11" w14:textId="4EBD9090" w:rsidR="00EC48CD" w:rsidRPr="00EC48CD" w:rsidRDefault="00EC48CD" w:rsidP="00D77AAE">
      <w:pPr>
        <w:jc w:val="both"/>
      </w:pPr>
      <w:r>
        <w:t xml:space="preserve">Si noti che in caso di </w:t>
      </w:r>
      <w:r w:rsidR="00987E21">
        <w:t>dividendi puri e assenza assoluta di compensi la contribuzione IVS non sarà in alcun modo deducibile</w:t>
      </w:r>
      <w:r w:rsidR="00D77AAE">
        <w:t>. Tale considerazione potrebbe portare a privilegiare forme miste che prevedano sia compensi (in forma ridotta) che dividendi</w:t>
      </w:r>
      <w:r w:rsidR="008330F4">
        <w:t>.</w:t>
      </w:r>
    </w:p>
    <w:p w14:paraId="21223B21" w14:textId="48F2B238" w:rsidR="00811D2D" w:rsidRPr="002E3105" w:rsidRDefault="00543D0A" w:rsidP="00EC48CD">
      <w:pPr>
        <w:pStyle w:val="Titolo2"/>
        <w:jc w:val="both"/>
      </w:pPr>
      <w:r>
        <w:t>Imposte dirette e sostitutive a confronto</w:t>
      </w:r>
    </w:p>
    <w:p w14:paraId="39432B05" w14:textId="77777777" w:rsidR="00811D2D" w:rsidRPr="002E3105" w:rsidRDefault="00811D2D" w:rsidP="00A63A7E">
      <w:pPr>
        <w:jc w:val="both"/>
      </w:pPr>
      <w:r w:rsidRPr="002E3105">
        <w:t>Per valutare correttamente la convenienza tra il compenso da amministratore e la distribuzione di dividendi, è necessario sommare tutte le componenti di costo: fiscali e contributive, sia in capo alla società che al socio.</w:t>
      </w:r>
    </w:p>
    <w:p w14:paraId="122EFA66" w14:textId="1C0C0586" w:rsidR="00811D2D" w:rsidRPr="002E3105" w:rsidRDefault="00811D2D" w:rsidP="00A63A7E">
      <w:pPr>
        <w:jc w:val="both"/>
      </w:pPr>
      <w:r w:rsidRPr="002E3105">
        <w:t>Nel primo scenario, con erogazione di un compenso di 200.000, la base imponibile IRES si riduce grazie alla deducibilità del compenso stesso e della quota a carico azienda dei contributi INPS (Gestione Separata). Su un utile ante imposte pari a 500.000, si deducono:</w:t>
      </w:r>
    </w:p>
    <w:p w14:paraId="7D6D075D" w14:textId="158BE884" w:rsidR="00811D2D" w:rsidRPr="002E3105" w:rsidRDefault="00811D2D" w:rsidP="00A63A7E">
      <w:pPr>
        <w:pStyle w:val="Paragrafoelenco"/>
        <w:numPr>
          <w:ilvl w:val="0"/>
          <w:numId w:val="35"/>
        </w:numPr>
        <w:jc w:val="both"/>
      </w:pPr>
      <w:r w:rsidRPr="002E3105">
        <w:t>200.000 di compenso amministratore;</w:t>
      </w:r>
    </w:p>
    <w:p w14:paraId="7139A65B" w14:textId="79154785" w:rsidR="00811D2D" w:rsidRDefault="001B0815" w:rsidP="00A63A7E">
      <w:pPr>
        <w:pStyle w:val="Paragrafoelenco"/>
        <w:numPr>
          <w:ilvl w:val="0"/>
          <w:numId w:val="35"/>
        </w:numPr>
        <w:jc w:val="both"/>
      </w:pPr>
      <w:r>
        <w:t xml:space="preserve">28.166 </w:t>
      </w:r>
      <w:r w:rsidR="00811D2D" w:rsidRPr="002E3105">
        <w:t>(2/3 INPS gestione separata).</w:t>
      </w:r>
    </w:p>
    <w:p w14:paraId="22C7AB80" w14:textId="2E555007" w:rsidR="00D0524E" w:rsidRDefault="00863DE8" w:rsidP="00D0524E">
      <w:pPr>
        <w:keepNext/>
        <w:jc w:val="both"/>
      </w:pPr>
      <w:r>
        <w:rPr>
          <w:noProof/>
        </w:rPr>
        <w:drawing>
          <wp:inline distT="0" distB="0" distL="0" distR="0" wp14:anchorId="19EBF962" wp14:editId="751BB28C">
            <wp:extent cx="6120130" cy="1533525"/>
            <wp:effectExtent l="0" t="0" r="0" b="9525"/>
            <wp:docPr id="1290435152" name="Immagine 1" descr="Immagine che contiene testo, Carattere,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35152" name="Immagine 1" descr="Immagine che contiene testo, Carattere, numero, linea&#10;&#10;Il contenuto generato dall'IA potrebbe non essere corretto."/>
                    <pic:cNvPicPr/>
                  </pic:nvPicPr>
                  <pic:blipFill>
                    <a:blip r:embed="rId11"/>
                    <a:stretch>
                      <a:fillRect/>
                    </a:stretch>
                  </pic:blipFill>
                  <pic:spPr>
                    <a:xfrm>
                      <a:off x="0" y="0"/>
                      <a:ext cx="6120130" cy="1533525"/>
                    </a:xfrm>
                    <a:prstGeom prst="rect">
                      <a:avLst/>
                    </a:prstGeom>
                  </pic:spPr>
                </pic:pic>
              </a:graphicData>
            </a:graphic>
          </wp:inline>
        </w:drawing>
      </w:r>
    </w:p>
    <w:p w14:paraId="0DA27EF9" w14:textId="3BBD9058" w:rsidR="004264BA" w:rsidRPr="002E3105" w:rsidRDefault="00D0524E" w:rsidP="00D0524E">
      <w:pPr>
        <w:pStyle w:val="Didascalia"/>
        <w:jc w:val="both"/>
      </w:pPr>
      <w:r>
        <w:t xml:space="preserve">Figura </w:t>
      </w:r>
      <w:r>
        <w:fldChar w:fldCharType="begin"/>
      </w:r>
      <w:r>
        <w:instrText xml:space="preserve"> SEQ Figura \* ARABIC </w:instrText>
      </w:r>
      <w:r>
        <w:fldChar w:fldCharType="separate"/>
      </w:r>
      <w:r w:rsidR="0040730A">
        <w:rPr>
          <w:noProof/>
        </w:rPr>
        <w:t>3</w:t>
      </w:r>
      <w:r>
        <w:fldChar w:fldCharType="end"/>
      </w:r>
      <w:r>
        <w:t xml:space="preserve">: </w:t>
      </w:r>
      <w:r w:rsidR="00880BF9">
        <w:t xml:space="preserve">Impatti </w:t>
      </w:r>
      <w:r w:rsidR="00CA1AE9">
        <w:t>sulla società</w:t>
      </w:r>
    </w:p>
    <w:p w14:paraId="7050DD05" w14:textId="3F1B3693" w:rsidR="00AA242E" w:rsidRDefault="00C90140" w:rsidP="00A63A7E">
      <w:pPr>
        <w:jc w:val="both"/>
      </w:pPr>
      <w:r>
        <w:t xml:space="preserve">Nell’ipotesi semplificata </w:t>
      </w:r>
      <w:r w:rsidR="00AA242E">
        <w:t xml:space="preserve">che </w:t>
      </w:r>
      <w:r>
        <w:t>non vi siano riprese in aumento e diminuzione, l</w:t>
      </w:r>
      <w:r w:rsidR="00811D2D" w:rsidRPr="002E3105">
        <w:t>a base imponibile IRES scende così a 2</w:t>
      </w:r>
      <w:r>
        <w:t>71</w:t>
      </w:r>
      <w:r w:rsidR="00811D2D" w:rsidRPr="002E3105">
        <w:t>.</w:t>
      </w:r>
      <w:r>
        <w:t>834</w:t>
      </w:r>
      <w:r w:rsidR="00811D2D" w:rsidRPr="002E3105">
        <w:t xml:space="preserve">, su cui si applica un’IRES di </w:t>
      </w:r>
      <w:r>
        <w:t>65</w:t>
      </w:r>
      <w:r w:rsidR="00811D2D" w:rsidRPr="002E3105">
        <w:t>.</w:t>
      </w:r>
      <w:r>
        <w:t>240</w:t>
      </w:r>
      <w:r w:rsidR="00811D2D" w:rsidRPr="002E3105">
        <w:t>. L’IRAP, che non consente la deduzione dei costi del personale né dei contributi, si calcola sull’intero imponibile di 500.000, con un’imposta pari a 19.500</w:t>
      </w:r>
      <w:r w:rsidR="00AA242E">
        <w:t>. Il carico sull’azienda</w:t>
      </w:r>
      <w:r w:rsidR="001B0815">
        <w:t>,</w:t>
      </w:r>
      <w:r w:rsidR="00AA242E">
        <w:t xml:space="preserve"> </w:t>
      </w:r>
      <w:r w:rsidR="001B0815">
        <w:t xml:space="preserve">in caso di dividendi, </w:t>
      </w:r>
      <w:r w:rsidR="00AA242E">
        <w:t xml:space="preserve">peggiora quindi di </w:t>
      </w:r>
      <w:r w:rsidR="007F2532">
        <w:t>54.760 di maggiori imposte.</w:t>
      </w:r>
    </w:p>
    <w:p w14:paraId="0A77A04A" w14:textId="4FC61237" w:rsidR="00253E77" w:rsidRPr="00253E77" w:rsidRDefault="00253E77" w:rsidP="00253E77">
      <w:r>
        <w:lastRenderedPageBreak/>
        <w:t>Alla luce di quanto visto fino ad ora, abbiamo due diversi quadri della situazione.</w:t>
      </w:r>
    </w:p>
    <w:p w14:paraId="174C5A05" w14:textId="77777777" w:rsidR="0040730A" w:rsidRDefault="0040730A" w:rsidP="0040730A">
      <w:pPr>
        <w:keepNext/>
        <w:jc w:val="both"/>
      </w:pPr>
      <w:r>
        <w:rPr>
          <w:b/>
          <w:bCs/>
          <w:noProof/>
        </w:rPr>
        <w:drawing>
          <wp:inline distT="0" distB="0" distL="0" distR="0" wp14:anchorId="35658FB0" wp14:editId="0FA76284">
            <wp:extent cx="6114415" cy="2182495"/>
            <wp:effectExtent l="0" t="0" r="635" b="8255"/>
            <wp:docPr id="6338424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4415" cy="2182495"/>
                    </a:xfrm>
                    <a:prstGeom prst="rect">
                      <a:avLst/>
                    </a:prstGeom>
                    <a:noFill/>
                    <a:ln>
                      <a:noFill/>
                    </a:ln>
                  </pic:spPr>
                </pic:pic>
              </a:graphicData>
            </a:graphic>
          </wp:inline>
        </w:drawing>
      </w:r>
    </w:p>
    <w:p w14:paraId="51731048" w14:textId="428578A9" w:rsidR="00DD5A57" w:rsidRDefault="0040730A" w:rsidP="0040730A">
      <w:pPr>
        <w:pStyle w:val="Didascalia"/>
        <w:jc w:val="both"/>
        <w:rPr>
          <w:b/>
          <w:bCs/>
        </w:rPr>
      </w:pPr>
      <w:r>
        <w:t xml:space="preserve">Figura </w:t>
      </w:r>
      <w:r>
        <w:fldChar w:fldCharType="begin"/>
      </w:r>
      <w:r>
        <w:instrText xml:space="preserve"> SEQ Figura \* ARABIC </w:instrText>
      </w:r>
      <w:r>
        <w:fldChar w:fldCharType="separate"/>
      </w:r>
      <w:r>
        <w:rPr>
          <w:noProof/>
        </w:rPr>
        <w:t>4</w:t>
      </w:r>
      <w:r>
        <w:fldChar w:fldCharType="end"/>
      </w:r>
      <w:r>
        <w:t>: Ipotesi a confronto</w:t>
      </w:r>
    </w:p>
    <w:p w14:paraId="641B05E5" w14:textId="7CEDFF96" w:rsidR="00BF0703" w:rsidRPr="002E3105" w:rsidRDefault="00BF0703" w:rsidP="00BF0703">
      <w:pPr>
        <w:jc w:val="both"/>
      </w:pPr>
      <w:r w:rsidRPr="00D330EC">
        <w:rPr>
          <w:b/>
          <w:bCs/>
        </w:rPr>
        <w:t xml:space="preserve">In </w:t>
      </w:r>
      <w:r w:rsidR="007B0CE8" w:rsidRPr="00D330EC">
        <w:rPr>
          <w:b/>
          <w:bCs/>
        </w:rPr>
        <w:t>caso di emolumenti</w:t>
      </w:r>
      <w:r w:rsidR="007B0CE8">
        <w:t xml:space="preserve"> in </w:t>
      </w:r>
      <w:r w:rsidRPr="002E3105">
        <w:t>capo al socio, si applicano:</w:t>
      </w:r>
    </w:p>
    <w:p w14:paraId="7BBE04F2" w14:textId="732DA17C" w:rsidR="00BF0703" w:rsidRPr="002E3105" w:rsidRDefault="00BF0703" w:rsidP="00BF0703">
      <w:pPr>
        <w:pStyle w:val="Paragrafoelenco"/>
        <w:numPr>
          <w:ilvl w:val="0"/>
          <w:numId w:val="36"/>
        </w:numPr>
        <w:jc w:val="both"/>
      </w:pPr>
      <w:r w:rsidRPr="002E3105">
        <w:t xml:space="preserve">IRPEF sul compenso: </w:t>
      </w:r>
      <w:r w:rsidR="00A26B68">
        <w:t>59</w:t>
      </w:r>
      <w:r w:rsidRPr="002E3105">
        <w:t>.</w:t>
      </w:r>
      <w:r w:rsidR="00A26B68">
        <w:t>605</w:t>
      </w:r>
      <w:r w:rsidRPr="002E3105">
        <w:t>;</w:t>
      </w:r>
    </w:p>
    <w:p w14:paraId="43D0A130" w14:textId="7F787AB9" w:rsidR="00BF0703" w:rsidRPr="002E3105" w:rsidRDefault="00BF0703" w:rsidP="00BF0703">
      <w:pPr>
        <w:pStyle w:val="Paragrafoelenco"/>
        <w:numPr>
          <w:ilvl w:val="0"/>
          <w:numId w:val="36"/>
        </w:numPr>
        <w:jc w:val="both"/>
      </w:pPr>
      <w:r w:rsidRPr="002E3105">
        <w:t xml:space="preserve">Addizionali comunale e regionale (ipotizzate al 2,53%): </w:t>
      </w:r>
      <w:r w:rsidR="00966AFE">
        <w:t>3</w:t>
      </w:r>
      <w:r w:rsidRPr="002E3105">
        <w:t>.</w:t>
      </w:r>
      <w:r w:rsidR="00966AFE">
        <w:t>940</w:t>
      </w:r>
      <w:r w:rsidRPr="002E3105">
        <w:t>;</w:t>
      </w:r>
    </w:p>
    <w:p w14:paraId="35C49038" w14:textId="77777777" w:rsidR="00BF0703" w:rsidRPr="002E3105" w:rsidRDefault="00BF0703" w:rsidP="00BF0703">
      <w:pPr>
        <w:pStyle w:val="Paragrafoelenco"/>
        <w:numPr>
          <w:ilvl w:val="0"/>
          <w:numId w:val="36"/>
        </w:numPr>
        <w:jc w:val="both"/>
      </w:pPr>
      <w:r w:rsidRPr="002E3105">
        <w:t>INPS personale:</w:t>
      </w:r>
    </w:p>
    <w:p w14:paraId="50DD8FC1" w14:textId="339DA8DC" w:rsidR="00BF0703" w:rsidRPr="002E3105" w:rsidRDefault="00BF0703" w:rsidP="00BF0703">
      <w:pPr>
        <w:pStyle w:val="Paragrafoelenco"/>
        <w:numPr>
          <w:ilvl w:val="1"/>
          <w:numId w:val="36"/>
        </w:numPr>
        <w:jc w:val="both"/>
      </w:pPr>
      <w:r w:rsidRPr="002E3105">
        <w:t>1</w:t>
      </w:r>
      <w:r w:rsidR="004E3A60">
        <w:t>4</w:t>
      </w:r>
      <w:r w:rsidRPr="002E3105">
        <w:t>.</w:t>
      </w:r>
      <w:r w:rsidR="004E3A60">
        <w:t>082</w:t>
      </w:r>
      <w:r w:rsidRPr="002E3105">
        <w:t xml:space="preserve"> (1/3 Gestione Separata),</w:t>
      </w:r>
    </w:p>
    <w:p w14:paraId="5EE0D007" w14:textId="46F1979E" w:rsidR="00BF0703" w:rsidRPr="002E3105" w:rsidRDefault="00BF0703" w:rsidP="00BF0703">
      <w:pPr>
        <w:pStyle w:val="Paragrafoelenco"/>
        <w:numPr>
          <w:ilvl w:val="1"/>
          <w:numId w:val="36"/>
        </w:numPr>
        <w:jc w:val="both"/>
      </w:pPr>
      <w:r w:rsidRPr="002E3105">
        <w:t>30.183</w:t>
      </w:r>
      <w:r w:rsidR="004E3A60">
        <w:t xml:space="preserve"> </w:t>
      </w:r>
      <w:r w:rsidRPr="002E3105">
        <w:t>(Gestione IVS).</w:t>
      </w:r>
    </w:p>
    <w:p w14:paraId="7199927A" w14:textId="3899031D" w:rsidR="00BF0703" w:rsidRDefault="00BF0703" w:rsidP="00BF0703">
      <w:pPr>
        <w:jc w:val="both"/>
        <w:rPr>
          <w:b/>
          <w:bCs/>
        </w:rPr>
      </w:pPr>
      <w:r w:rsidRPr="006E4FD6">
        <w:rPr>
          <w:b/>
          <w:bCs/>
        </w:rPr>
        <w:t xml:space="preserve">Il totale del carico previdenziale e fiscale, sommando voci societarie e personali, ammonta così a </w:t>
      </w:r>
      <w:r w:rsidR="00D330EC">
        <w:rPr>
          <w:b/>
          <w:bCs/>
        </w:rPr>
        <w:t>220</w:t>
      </w:r>
      <w:r w:rsidRPr="006E4FD6">
        <w:rPr>
          <w:b/>
          <w:bCs/>
        </w:rPr>
        <w:t>.</w:t>
      </w:r>
      <w:r w:rsidR="00D330EC">
        <w:rPr>
          <w:b/>
          <w:bCs/>
        </w:rPr>
        <w:t>718</w:t>
      </w:r>
      <w:r w:rsidRPr="006E4FD6">
        <w:rPr>
          <w:b/>
          <w:bCs/>
        </w:rPr>
        <w:t>.</w:t>
      </w:r>
    </w:p>
    <w:p w14:paraId="2A9390D9" w14:textId="7041B2FD" w:rsidR="00811D2D" w:rsidRPr="002E3105" w:rsidRDefault="00D330EC" w:rsidP="00A63A7E">
      <w:pPr>
        <w:jc w:val="both"/>
      </w:pPr>
      <w:r>
        <w:rPr>
          <w:b/>
          <w:bCs/>
        </w:rPr>
        <w:t>In caso di distribuzione</w:t>
      </w:r>
      <w:r w:rsidR="00691825">
        <w:rPr>
          <w:b/>
          <w:bCs/>
        </w:rPr>
        <w:t xml:space="preserve"> dividendi,</w:t>
      </w:r>
      <w:r w:rsidR="00811D2D" w:rsidRPr="002E3105">
        <w:t xml:space="preserve"> il socio non percepisce compensi, ma riceve 200.000 come dividendi. In tal caso:</w:t>
      </w:r>
    </w:p>
    <w:p w14:paraId="5B7C504D" w14:textId="0D49B36D" w:rsidR="00811D2D" w:rsidRPr="002E3105" w:rsidRDefault="00811D2D" w:rsidP="00A63A7E">
      <w:pPr>
        <w:pStyle w:val="Paragrafoelenco"/>
        <w:numPr>
          <w:ilvl w:val="0"/>
          <w:numId w:val="37"/>
        </w:numPr>
        <w:jc w:val="both"/>
      </w:pPr>
      <w:r w:rsidRPr="002E3105">
        <w:t>L’utile della società (500.000) non subisce deduzioni; quindi, la base imponibile IRES è pari a 500.000, con un’imposta di 120.000;</w:t>
      </w:r>
    </w:p>
    <w:p w14:paraId="745D8F04" w14:textId="5F750FC6" w:rsidR="00811D2D" w:rsidRPr="002E3105" w:rsidRDefault="00811D2D" w:rsidP="00A63A7E">
      <w:pPr>
        <w:pStyle w:val="Paragrafoelenco"/>
        <w:numPr>
          <w:ilvl w:val="0"/>
          <w:numId w:val="37"/>
        </w:numPr>
        <w:jc w:val="both"/>
      </w:pPr>
      <w:r w:rsidRPr="002E3105">
        <w:t>L’IRAP, invariata, resta pari a 19.500;</w:t>
      </w:r>
    </w:p>
    <w:p w14:paraId="3CEB87AB" w14:textId="28EAFB18" w:rsidR="00811D2D" w:rsidRPr="002E3105" w:rsidRDefault="00811D2D" w:rsidP="00A63A7E">
      <w:pPr>
        <w:pStyle w:val="Paragrafoelenco"/>
        <w:numPr>
          <w:ilvl w:val="0"/>
          <w:numId w:val="37"/>
        </w:numPr>
        <w:jc w:val="both"/>
      </w:pPr>
      <w:r w:rsidRPr="002E3105">
        <w:t>In capo al socio, il dividendo è soggetto a imposta sostitutiva del 26%, pari a 52.000;</w:t>
      </w:r>
    </w:p>
    <w:p w14:paraId="4E3B241A" w14:textId="59AF8B3A" w:rsidR="00811D2D" w:rsidRPr="002E3105" w:rsidRDefault="00811D2D" w:rsidP="00A63A7E">
      <w:pPr>
        <w:pStyle w:val="Paragrafoelenco"/>
        <w:numPr>
          <w:ilvl w:val="0"/>
          <w:numId w:val="37"/>
        </w:numPr>
        <w:jc w:val="both"/>
      </w:pPr>
      <w:r w:rsidRPr="002E3105">
        <w:t>Resta dovuta l’intera contribuzione IVS artigiani/commercianti, pari a 30.183,62, per effetto dell’attività abituale e prevalente svolta dal socio, anche in assenza di compenso.</w:t>
      </w:r>
    </w:p>
    <w:p w14:paraId="10BDCB2F" w14:textId="3E7D2329" w:rsidR="00E755C3" w:rsidRDefault="00E755C3" w:rsidP="001B0815">
      <w:pPr>
        <w:jc w:val="both"/>
        <w:rPr>
          <w:b/>
          <w:bCs/>
        </w:rPr>
      </w:pPr>
      <w:r w:rsidRPr="00E755C3">
        <w:rPr>
          <w:b/>
          <w:bCs/>
        </w:rPr>
        <w:t>Il totale del carico previdenziale e fiscale, sommando voci societarie e personali, ammonta così a 22</w:t>
      </w:r>
      <w:r>
        <w:rPr>
          <w:b/>
          <w:bCs/>
        </w:rPr>
        <w:t>1</w:t>
      </w:r>
      <w:r w:rsidRPr="00E755C3">
        <w:rPr>
          <w:b/>
          <w:bCs/>
        </w:rPr>
        <w:t>.</w:t>
      </w:r>
      <w:r>
        <w:rPr>
          <w:b/>
          <w:bCs/>
        </w:rPr>
        <w:t>683</w:t>
      </w:r>
      <w:r w:rsidRPr="00E755C3">
        <w:rPr>
          <w:b/>
          <w:bCs/>
        </w:rPr>
        <w:t>.</w:t>
      </w:r>
    </w:p>
    <w:p w14:paraId="2A58CC11" w14:textId="21731F4D" w:rsidR="00E755C3" w:rsidRDefault="00F52546" w:rsidP="00E3633E">
      <w:pPr>
        <w:jc w:val="both"/>
      </w:pPr>
      <w:r>
        <w:t>Vista così verrebbe quasi da dire che le due ipotesi si equivalgono con un leggero risparmio per la</w:t>
      </w:r>
      <w:r w:rsidR="007062C1">
        <w:t xml:space="preserve"> scelta del compenso ma se si leggono meglio le conclusioni</w:t>
      </w:r>
      <w:r w:rsidR="00C95981">
        <w:t xml:space="preserve"> riportate nel tool si legge</w:t>
      </w:r>
      <w:r w:rsidR="00DF6807">
        <w:t>:</w:t>
      </w:r>
    </w:p>
    <w:p w14:paraId="03A6AA16" w14:textId="12096CF6" w:rsidR="00C95981" w:rsidRDefault="00C95981" w:rsidP="00E3633E">
      <w:pPr>
        <w:jc w:val="both"/>
        <w:rPr>
          <w:i/>
          <w:iCs/>
        </w:rPr>
      </w:pPr>
      <w:r w:rsidRPr="00C95981">
        <w:rPr>
          <w:i/>
          <w:iCs/>
        </w:rPr>
        <w:t>A seguito delle analisi effettuate si evidenzia la convenienza fiscale dell'ipotesi compenso rispetto alla distribuzione dividendi per 966. Nel caso di distribuzione dividendi, il reddito netto della società aumenta di 173.406 e il compenso netto è maggiore di 25.628</w:t>
      </w:r>
      <w:r>
        <w:rPr>
          <w:i/>
          <w:iCs/>
        </w:rPr>
        <w:t>.</w:t>
      </w:r>
    </w:p>
    <w:p w14:paraId="6E1B2F21" w14:textId="693CD3DF" w:rsidR="00DF6807" w:rsidRDefault="00DF6807" w:rsidP="00E3633E">
      <w:pPr>
        <w:jc w:val="both"/>
      </w:pPr>
      <w:r>
        <w:lastRenderedPageBreak/>
        <w:t xml:space="preserve">Il tema del confronto si sposta quindi </w:t>
      </w:r>
      <w:r w:rsidRPr="00D176EB">
        <w:rPr>
          <w:b/>
          <w:bCs/>
        </w:rPr>
        <w:t xml:space="preserve">su tre </w:t>
      </w:r>
      <w:r w:rsidR="00D176EB">
        <w:t xml:space="preserve">diversi </w:t>
      </w:r>
      <w:r w:rsidRPr="00D176EB">
        <w:rPr>
          <w:b/>
          <w:bCs/>
        </w:rPr>
        <w:t>piani</w:t>
      </w:r>
      <w:r>
        <w:t>: il primo è quello dell’</w:t>
      </w:r>
      <w:r w:rsidRPr="00D176EB">
        <w:rPr>
          <w:b/>
          <w:bCs/>
        </w:rPr>
        <w:t>onerosità della scelta</w:t>
      </w:r>
      <w:r w:rsidR="0058531C">
        <w:t>, il se</w:t>
      </w:r>
      <w:r w:rsidR="00BE6E02">
        <w:t xml:space="preserve">condo è quello del </w:t>
      </w:r>
      <w:r w:rsidR="00BE6E02" w:rsidRPr="00D176EB">
        <w:rPr>
          <w:b/>
          <w:bCs/>
        </w:rPr>
        <w:t>netto percepito dall’amministratore</w:t>
      </w:r>
      <w:r w:rsidR="00BE6E02">
        <w:t xml:space="preserve"> e il terzo è quello del </w:t>
      </w:r>
      <w:r w:rsidR="00BE6E02" w:rsidRPr="00D176EB">
        <w:rPr>
          <w:b/>
          <w:bCs/>
        </w:rPr>
        <w:t>risultato netto aziendale</w:t>
      </w:r>
      <w:r w:rsidR="00BE6E02">
        <w:t>.</w:t>
      </w:r>
    </w:p>
    <w:p w14:paraId="44816835" w14:textId="7D7F31AB" w:rsidR="00503BF2" w:rsidRDefault="00142757" w:rsidP="00E3633E">
      <w:pPr>
        <w:jc w:val="both"/>
      </w:pPr>
      <w:r>
        <w:t xml:space="preserve">Il tool </w:t>
      </w:r>
      <w:r w:rsidR="0088651D" w:rsidRPr="002E3105">
        <w:rPr>
          <w:i/>
          <w:iCs/>
        </w:rPr>
        <w:t>DividendiCompensi_24</w:t>
      </w:r>
      <w:r w:rsidR="0088651D">
        <w:rPr>
          <w:i/>
          <w:iCs/>
        </w:rPr>
        <w:t xml:space="preserve"> </w:t>
      </w:r>
      <w:r>
        <w:t>consente</w:t>
      </w:r>
      <w:r w:rsidR="0088651D">
        <w:t>,</w:t>
      </w:r>
      <w:r>
        <w:t xml:space="preserve"> con </w:t>
      </w:r>
      <w:r w:rsidR="000748A7">
        <w:t>ricerche obiettivo mirate, di cal</w:t>
      </w:r>
      <w:r w:rsidR="006E5D80">
        <w:t xml:space="preserve">colare quale compenso sarebbe in grado di pareggiare gli oneri </w:t>
      </w:r>
      <w:r w:rsidR="00D176EB">
        <w:t>(</w:t>
      </w:r>
      <w:r w:rsidR="00D176EB">
        <w:t xml:space="preserve">con </w:t>
      </w:r>
      <w:r w:rsidR="00D176EB">
        <w:t>i</w:t>
      </w:r>
      <w:r w:rsidR="00D176EB">
        <w:t>l</w:t>
      </w:r>
      <w:r w:rsidR="00D176EB">
        <w:t xml:space="preserve"> </w:t>
      </w:r>
      <w:r w:rsidR="00D176EB">
        <w:t xml:space="preserve">pulsante </w:t>
      </w:r>
      <w:r w:rsidR="00D176EB" w:rsidRPr="00D176EB">
        <w:rPr>
          <w:i/>
          <w:iCs/>
        </w:rPr>
        <w:t>pareggia gli oneri</w:t>
      </w:r>
      <w:r w:rsidR="00D176EB">
        <w:t>)</w:t>
      </w:r>
      <w:r w:rsidR="00D176EB">
        <w:t xml:space="preserve"> </w:t>
      </w:r>
      <w:r w:rsidR="006E5D80">
        <w:t>o i netti ricevuti</w:t>
      </w:r>
      <w:r w:rsidR="00D176EB">
        <w:t xml:space="preserve"> </w:t>
      </w:r>
      <w:r w:rsidR="00D176EB">
        <w:t xml:space="preserve">(con il pulsante </w:t>
      </w:r>
      <w:r w:rsidR="00D176EB" w:rsidRPr="00D176EB">
        <w:rPr>
          <w:i/>
          <w:iCs/>
        </w:rPr>
        <w:t xml:space="preserve">pareggia </w:t>
      </w:r>
      <w:r w:rsidR="00D176EB" w:rsidRPr="00D176EB">
        <w:rPr>
          <w:i/>
          <w:iCs/>
        </w:rPr>
        <w:t>i netti</w:t>
      </w:r>
      <w:r w:rsidR="00D176EB">
        <w:t>)</w:t>
      </w:r>
      <w:r w:rsidR="00B2021E">
        <w:t xml:space="preserve">. </w:t>
      </w:r>
    </w:p>
    <w:p w14:paraId="585845CC" w14:textId="21A39E1F" w:rsidR="00DF6807" w:rsidRDefault="00503BF2" w:rsidP="00E3633E">
      <w:pPr>
        <w:jc w:val="both"/>
      </w:pPr>
      <w:r>
        <w:t>Se si stabilisce ad esempio che</w:t>
      </w:r>
      <w:r w:rsidR="00F83971">
        <w:t>,</w:t>
      </w:r>
      <w:r>
        <w:t xml:space="preserve"> pur cambiando la forma di retribuzione da </w:t>
      </w:r>
      <w:r w:rsidR="00B04E86">
        <w:t>compensi a dividendi</w:t>
      </w:r>
      <w:r w:rsidR="00F83971">
        <w:t>,</w:t>
      </w:r>
      <w:r w:rsidR="00B04E86">
        <w:t xml:space="preserve"> </w:t>
      </w:r>
      <w:r w:rsidR="00B04E86" w:rsidRPr="00D176EB">
        <w:rPr>
          <w:b/>
          <w:bCs/>
        </w:rPr>
        <w:t>il netto percepito deve rimanere il medesimo</w:t>
      </w:r>
      <w:r w:rsidR="005E0598">
        <w:t xml:space="preserve"> si ottiene quanto di seguito rappresentato.</w:t>
      </w:r>
    </w:p>
    <w:p w14:paraId="1DAB476B" w14:textId="051E52B4" w:rsidR="005E0598" w:rsidRDefault="00E3633E" w:rsidP="00E3633E">
      <w:pPr>
        <w:jc w:val="both"/>
      </w:pPr>
      <w:r w:rsidRPr="00E3633E">
        <w:drawing>
          <wp:inline distT="0" distB="0" distL="0" distR="0" wp14:anchorId="77577331" wp14:editId="18CFCEDA">
            <wp:extent cx="6130178" cy="1806361"/>
            <wp:effectExtent l="0" t="0" r="4445" b="3810"/>
            <wp:docPr id="964159539"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59539" name="Immagine 1" descr="Immagine che contiene testo, Carattere, linea, numero&#10;&#10;Il contenuto generato dall'IA potrebbe non essere corretto."/>
                    <pic:cNvPicPr/>
                  </pic:nvPicPr>
                  <pic:blipFill>
                    <a:blip r:embed="rId13"/>
                    <a:stretch>
                      <a:fillRect/>
                    </a:stretch>
                  </pic:blipFill>
                  <pic:spPr>
                    <a:xfrm>
                      <a:off x="0" y="0"/>
                      <a:ext cx="6151057" cy="1812513"/>
                    </a:xfrm>
                    <a:prstGeom prst="rect">
                      <a:avLst/>
                    </a:prstGeom>
                  </pic:spPr>
                </pic:pic>
              </a:graphicData>
            </a:graphic>
          </wp:inline>
        </w:drawing>
      </w:r>
    </w:p>
    <w:p w14:paraId="373A73CE" w14:textId="47DE3513" w:rsidR="00B917CC" w:rsidRDefault="00B917CC" w:rsidP="00B917CC">
      <w:pPr>
        <w:pStyle w:val="Didascalia"/>
        <w:jc w:val="both"/>
      </w:pPr>
      <w:r>
        <w:t xml:space="preserve">Figura </w:t>
      </w:r>
      <w:r>
        <w:fldChar w:fldCharType="begin"/>
      </w:r>
      <w:r>
        <w:instrText xml:space="preserve"> SEQ Figura \* ARABIC </w:instrText>
      </w:r>
      <w:r>
        <w:fldChar w:fldCharType="separate"/>
      </w:r>
      <w:r w:rsidR="0040730A">
        <w:rPr>
          <w:noProof/>
        </w:rPr>
        <w:t>5</w:t>
      </w:r>
      <w:r>
        <w:fldChar w:fldCharType="end"/>
      </w:r>
      <w:r>
        <w:t xml:space="preserve">: </w:t>
      </w:r>
      <w:r w:rsidR="00E3633E">
        <w:t>Parità di netti</w:t>
      </w:r>
      <w:r>
        <w:t>, le due ipotesi a confronto</w:t>
      </w:r>
    </w:p>
    <w:p w14:paraId="54CCE0CA" w14:textId="09A763E7" w:rsidR="00811D2D" w:rsidRDefault="007F0048" w:rsidP="007F0048">
      <w:r w:rsidRPr="007F0048">
        <w:rPr>
          <w:rFonts w:ascii="Aptos" w:hAnsi="Aptos"/>
        </w:rPr>
        <w:t xml:space="preserve">La convenienza numerica immediata favorisce i </w:t>
      </w:r>
      <w:r w:rsidR="00A02BDF">
        <w:rPr>
          <w:rFonts w:ascii="Aptos" w:hAnsi="Aptos"/>
        </w:rPr>
        <w:t xml:space="preserve">dividendi </w:t>
      </w:r>
      <w:r w:rsidRPr="007F0048">
        <w:rPr>
          <w:rFonts w:ascii="Aptos" w:hAnsi="Aptos"/>
        </w:rPr>
        <w:t>come opzione più economica.</w:t>
      </w:r>
    </w:p>
    <w:p w14:paraId="772C470E" w14:textId="77777777" w:rsidR="00F0736C" w:rsidRDefault="007F0048" w:rsidP="002E3105">
      <w:pPr>
        <w:keepNext/>
        <w:jc w:val="both"/>
      </w:pPr>
      <w:r>
        <w:t>È opportuno</w:t>
      </w:r>
      <w:r w:rsidR="002A196C">
        <w:t>,</w:t>
      </w:r>
      <w:r>
        <w:t xml:space="preserve"> tuttavia</w:t>
      </w:r>
      <w:r w:rsidR="002A196C">
        <w:t>,</w:t>
      </w:r>
      <w:r>
        <w:t xml:space="preserve"> chiarire che il </w:t>
      </w:r>
      <w:r w:rsidR="009F16EE">
        <w:t>“</w:t>
      </w:r>
      <w:r>
        <w:t>risparmio</w:t>
      </w:r>
      <w:r w:rsidR="009F16EE">
        <w:t xml:space="preserve">” </w:t>
      </w:r>
      <w:r w:rsidR="00423CB6">
        <w:t xml:space="preserve">deriva da </w:t>
      </w:r>
      <w:r w:rsidR="00423CB6" w:rsidRPr="00A02BDF">
        <w:rPr>
          <w:b/>
          <w:bCs/>
        </w:rPr>
        <w:t>minori contributi versati</w:t>
      </w:r>
      <w:r w:rsidR="00423CB6">
        <w:t xml:space="preserve"> che</w:t>
      </w:r>
      <w:r w:rsidR="006053BA">
        <w:t>,</w:t>
      </w:r>
      <w:r w:rsidR="00423CB6">
        <w:t xml:space="preserve"> seppur </w:t>
      </w:r>
      <w:r w:rsidR="006053BA">
        <w:t xml:space="preserve">spesso percepiti alla stregua delle imposte, </w:t>
      </w:r>
      <w:r w:rsidR="00BC6967">
        <w:t xml:space="preserve">rappresentano di fatto una sorta di credito che sarà </w:t>
      </w:r>
      <w:r w:rsidR="005F6854">
        <w:t>“</w:t>
      </w:r>
      <w:r w:rsidR="00BC6967">
        <w:t>riscosso</w:t>
      </w:r>
      <w:r w:rsidR="005F6854">
        <w:t>”</w:t>
      </w:r>
      <w:r w:rsidR="00BC6967">
        <w:t xml:space="preserve"> sotto forma di </w:t>
      </w:r>
      <w:r w:rsidR="005F6854" w:rsidRPr="00A02BDF">
        <w:rPr>
          <w:b/>
          <w:bCs/>
        </w:rPr>
        <w:t>trattamento previdenziale</w:t>
      </w:r>
      <w:r w:rsidR="006053BA" w:rsidRPr="00A02BDF">
        <w:rPr>
          <w:b/>
          <w:bCs/>
        </w:rPr>
        <w:t xml:space="preserve"> </w:t>
      </w:r>
      <w:r w:rsidR="005F6854" w:rsidRPr="00A02BDF">
        <w:rPr>
          <w:b/>
          <w:bCs/>
        </w:rPr>
        <w:t>al momento della pensione.</w:t>
      </w:r>
      <w:r w:rsidR="002A196C">
        <w:t xml:space="preserve"> </w:t>
      </w:r>
    </w:p>
    <w:p w14:paraId="48ABF3D1" w14:textId="1B9CFF41" w:rsidR="002A19B7" w:rsidRPr="00C97942" w:rsidRDefault="00F0736C" w:rsidP="002E3105">
      <w:pPr>
        <w:keepNext/>
        <w:jc w:val="both"/>
        <w:rPr>
          <w:b/>
          <w:bCs/>
        </w:rPr>
      </w:pPr>
      <w:r w:rsidRPr="00F0736C">
        <w:t>L'assenza di contributi sui dividendi, pur essendo un</w:t>
      </w:r>
      <w:r>
        <w:t xml:space="preserve"> </w:t>
      </w:r>
      <w:r w:rsidRPr="00F0736C">
        <w:t>vantaggio</w:t>
      </w:r>
      <w:r>
        <w:t xml:space="preserve"> a breve</w:t>
      </w:r>
      <w:r w:rsidRPr="00F0736C">
        <w:t>, potrebbe rivelarsi uno svantaggio a lungo termine per la</w:t>
      </w:r>
      <w:r>
        <w:t xml:space="preserve"> </w:t>
      </w:r>
      <w:r w:rsidRPr="00F0736C">
        <w:t>pensione, soprattutto per i soci pi</w:t>
      </w:r>
      <w:r w:rsidRPr="00F0736C">
        <w:rPr>
          <w:rFonts w:hint="eastAsia"/>
        </w:rPr>
        <w:t>ù</w:t>
      </w:r>
      <w:r w:rsidRPr="00F0736C">
        <w:t xml:space="preserve"> giovani</w:t>
      </w:r>
      <w:r w:rsidR="00C97942">
        <w:t xml:space="preserve">, sarà quindi opportuno </w:t>
      </w:r>
      <w:r w:rsidR="002A196C" w:rsidRPr="00C97942">
        <w:rPr>
          <w:b/>
          <w:bCs/>
        </w:rPr>
        <w:t>ponderare anche le aspettative previdenziali del soggetto amministratore</w:t>
      </w:r>
      <w:r w:rsidR="00C97942">
        <w:rPr>
          <w:b/>
          <w:bCs/>
        </w:rPr>
        <w:t xml:space="preserve"> </w:t>
      </w:r>
      <w:r w:rsidR="00C97942">
        <w:t xml:space="preserve">prima di prendere </w:t>
      </w:r>
      <w:r w:rsidR="00C97942" w:rsidRPr="00C97942">
        <w:t>decisioni</w:t>
      </w:r>
      <w:r w:rsidR="00C97942">
        <w:t xml:space="preserve"> in merito.</w:t>
      </w:r>
    </w:p>
    <w:p w14:paraId="5981062B" w14:textId="22FB4168" w:rsidR="002179B1" w:rsidRPr="002179B1" w:rsidRDefault="002179B1" w:rsidP="002179B1">
      <w:pPr>
        <w:pStyle w:val="Titolo2"/>
      </w:pPr>
      <w:r>
        <w:t>Il rischio fiscale del compenso amministratore</w:t>
      </w:r>
    </w:p>
    <w:p w14:paraId="31713BA6" w14:textId="386548D8" w:rsidR="006F6E34" w:rsidRDefault="006F6E34" w:rsidP="006F6E34">
      <w:pPr>
        <w:jc w:val="both"/>
      </w:pPr>
      <w:r w:rsidRPr="006F6E34">
        <w:rPr>
          <w:rFonts w:ascii="Aptos" w:hAnsi="Aptos"/>
        </w:rPr>
        <w:t xml:space="preserve">Secondo l'art. 95 TUIR, i compensi agli amministratori sono ora integralmente deducibili nell'esercizio di pagamento, senza limiti quantitativi, purché inerenti all'attività d'impresa e conformi ai requisiti di </w:t>
      </w:r>
      <w:r w:rsidRPr="001B0815">
        <w:rPr>
          <w:rFonts w:ascii="Aptos" w:hAnsi="Aptos"/>
          <w:b/>
          <w:bCs/>
        </w:rPr>
        <w:t>certezza, determinabilità ed effettivo pagamento</w:t>
      </w:r>
      <w:r w:rsidRPr="006F6E34">
        <w:rPr>
          <w:rFonts w:ascii="Aptos" w:hAnsi="Aptos"/>
        </w:rPr>
        <w:t xml:space="preserve">. </w:t>
      </w:r>
    </w:p>
    <w:p w14:paraId="32516324" w14:textId="77777777" w:rsidR="005E7196" w:rsidRPr="005E7196" w:rsidRDefault="005E7196" w:rsidP="005C3D88">
      <w:pPr>
        <w:jc w:val="both"/>
      </w:pPr>
      <w:r w:rsidRPr="005E7196">
        <w:t xml:space="preserve">In sintesi, </w:t>
      </w:r>
      <w:r w:rsidRPr="005E7196">
        <w:rPr>
          <w:b/>
          <w:bCs/>
        </w:rPr>
        <w:t>la società può dedurre fiscalmente i compensi all’amministratore se</w:t>
      </w:r>
      <w:r w:rsidRPr="005E7196">
        <w:t xml:space="preserve">: c’è un’effettiva delibera/accordo che li stabilisce, il pagamento è avvenuto nell’anno, l’importo non è fittizio o del tutto incoerente con l’attività, e naturalmente se vengono rispettati gli adempimenti (ritenute fiscali versate, contributi pagati, corretta indicazione in dichiarazione dei redditi). Fino al 2012 vi è stata incertezza interpretativa sul potere del Fisco di sindacare la </w:t>
      </w:r>
      <w:r w:rsidRPr="005E7196">
        <w:rPr>
          <w:i/>
          <w:iCs/>
        </w:rPr>
        <w:t>congruità</w:t>
      </w:r>
      <w:r w:rsidRPr="005E7196">
        <w:t xml:space="preserve"> di tali compensi; vediamo a seguire la posizione dell’Agenzia Entrate e l’evoluzione giurisprudenziale al riguardo.</w:t>
      </w:r>
    </w:p>
    <w:p w14:paraId="77551F10" w14:textId="13F003E9" w:rsidR="005E7196" w:rsidRPr="005E7196" w:rsidRDefault="005E7196" w:rsidP="005C3D88">
      <w:pPr>
        <w:pStyle w:val="Titolo3"/>
      </w:pPr>
      <w:r w:rsidRPr="005E7196">
        <w:lastRenderedPageBreak/>
        <w:t xml:space="preserve">Posizione dell’Agenzia delle Entrate </w:t>
      </w:r>
      <w:r w:rsidR="00C97942">
        <w:t>e della giurisprudenza sui compensi</w:t>
      </w:r>
    </w:p>
    <w:p w14:paraId="1795917D" w14:textId="6806613D" w:rsidR="005E7196" w:rsidRPr="005E7196" w:rsidRDefault="00B41A73" w:rsidP="00B41A73">
      <w:pPr>
        <w:jc w:val="both"/>
      </w:pPr>
      <w:r w:rsidRPr="00B41A73">
        <w:rPr>
          <w:rFonts w:ascii="Aptos" w:hAnsi="Aptos"/>
        </w:rPr>
        <w:t xml:space="preserve">Nonostante l’assenza di un limite legale, l’Amministrazione finanziaria può contestare compensi agli amministratori ritenuti eccessivi, soprattutto se sono anche soci di controllo. Secondo la Risoluzione n. 113/E del 31.12.2012, il Fisco può negare la deducibilità dei compensi se appaiono </w:t>
      </w:r>
      <w:r w:rsidRPr="00B41A73">
        <w:rPr>
          <w:rFonts w:ascii="Aptos" w:hAnsi="Aptos"/>
          <w:b/>
          <w:bCs/>
        </w:rPr>
        <w:t>insoliti, sproporzionati o strumentali a vantaggi indebiti</w:t>
      </w:r>
      <w:r w:rsidRPr="00B41A73">
        <w:rPr>
          <w:rFonts w:ascii="Aptos" w:hAnsi="Aptos"/>
        </w:rPr>
        <w:t xml:space="preserve">. Un compenso troppo alto rispetto ai ricavi è considerato </w:t>
      </w:r>
      <w:r w:rsidRPr="00B41A73">
        <w:rPr>
          <w:rFonts w:ascii="Aptos" w:hAnsi="Aptos"/>
          <w:b/>
          <w:bCs/>
        </w:rPr>
        <w:t>indice di antieconomicità</w:t>
      </w:r>
      <w:r w:rsidRPr="00B41A73">
        <w:rPr>
          <w:rFonts w:ascii="Aptos" w:hAnsi="Aptos"/>
        </w:rPr>
        <w:t xml:space="preserve"> e può far sospettare finalità diverse da quelle imprenditoriali, come </w:t>
      </w:r>
      <w:r w:rsidRPr="00B41A73">
        <w:rPr>
          <w:rFonts w:ascii="Aptos" w:hAnsi="Aptos"/>
          <w:b/>
          <w:bCs/>
        </w:rPr>
        <w:t>la distribuzione occulta di utili.</w:t>
      </w:r>
    </w:p>
    <w:p w14:paraId="5FFB38CE" w14:textId="61A1FECC" w:rsidR="005E7196" w:rsidRPr="005E7196" w:rsidRDefault="00CB4A8A" w:rsidP="00CB4A8A">
      <w:pPr>
        <w:jc w:val="both"/>
      </w:pPr>
      <w:r w:rsidRPr="00CB4A8A">
        <w:rPr>
          <w:rFonts w:ascii="Aptos" w:hAnsi="Aptos"/>
        </w:rPr>
        <w:t xml:space="preserve">Prima della risoluzione 113/E/2012, la possibilità per l’Ufficio di contestare la deducibilità per sproporzione quantitativa era controversa, poiché il nuovo art. 95 comma 5 TUIR (dal 2004) aveva eliminato i limiti percentuali sui compensi degli amministratori soci. Tuttavia, secondo l’Agenzia delle Entrate, l’assenza di un tetto non esclude controlli: </w:t>
      </w:r>
      <w:r w:rsidRPr="00CB4A8A">
        <w:rPr>
          <w:rFonts w:ascii="Aptos" w:hAnsi="Aptos"/>
          <w:b/>
        </w:rPr>
        <w:t>il principio generale di inerenza</w:t>
      </w:r>
      <w:r w:rsidRPr="00CB4A8A">
        <w:rPr>
          <w:rFonts w:ascii="Aptos" w:hAnsi="Aptos"/>
        </w:rPr>
        <w:t xml:space="preserve"> (art.109 TUIR) permette comunque di negare la deducibilità di costi non inerenti o antieconomici. Se il compenso è fuori mercato o incoerente con l’attività e il fatturato, la parte eccedente può essere indeducibile. Questa interpretazione è stata confermata anche da documenti successivi e dalle istruzioni operative ai verificatori fiscali, che richiedono di valutare la </w:t>
      </w:r>
      <w:r w:rsidRPr="00CB4A8A">
        <w:rPr>
          <w:rFonts w:ascii="Aptos" w:hAnsi="Aptos"/>
          <w:b/>
        </w:rPr>
        <w:t>congruità</w:t>
      </w:r>
      <w:r w:rsidRPr="00CB4A8A">
        <w:rPr>
          <w:rFonts w:ascii="Aptos" w:hAnsi="Aptos"/>
        </w:rPr>
        <w:t xml:space="preserve"> dei compensi rispetto ai parametri aziendali nei controlli di fine anno.</w:t>
      </w:r>
    </w:p>
    <w:p w14:paraId="43BF3338" w14:textId="69D664F5" w:rsidR="005E7196" w:rsidRPr="005E7196" w:rsidRDefault="005E7196" w:rsidP="00164839">
      <w:pPr>
        <w:jc w:val="both"/>
      </w:pPr>
      <w:r w:rsidRPr="005E7196">
        <w:t xml:space="preserve">È importante notare che </w:t>
      </w:r>
      <w:r w:rsidRPr="005E7196">
        <w:rPr>
          <w:i/>
          <w:iCs/>
        </w:rPr>
        <w:t>disconoscere la deduzione</w:t>
      </w:r>
      <w:r w:rsidRPr="005E7196">
        <w:t xml:space="preserve"> di un compenso non significa tassarlo due volte: la quota di compenso dichiarata indeducibile per la società </w:t>
      </w:r>
      <w:r w:rsidRPr="005E7196">
        <w:rPr>
          <w:b/>
          <w:bCs/>
        </w:rPr>
        <w:t>non viene tassata come reddito al percettore</w:t>
      </w:r>
      <w:r w:rsidRPr="005E7196">
        <w:t xml:space="preserve"> (ex art. 37-bis, comma 4 del DPR 600/73, ora art. 10-bis, comma 4 dello Statuto del Contribuente – principio del ne bis in idem). In pratica, se il Fisco taglia metà del compenso come indeducibile, quella metà resta tassata solo in capo all’amministratore (che l’ha già dichiarata) ma non genera deduzione per la società. L’effetto per la società sarebbe una maggiore IRES/IRAP dovuta (perché reddito ripreso a tassazione), mentre per il socio non cambia nulla sul dichiarato (eventualmente, in casi estremi, si potrebbe configurare una parziale riqualificazione come dividendo, ma normalmente l’approccio è limitato alla deduzione).</w:t>
      </w:r>
    </w:p>
    <w:p w14:paraId="1F8DAA3D" w14:textId="18FE1E4D" w:rsidR="005E7196" w:rsidRPr="005E7196" w:rsidRDefault="005E7196" w:rsidP="00864BDC">
      <w:pPr>
        <w:jc w:val="both"/>
      </w:pPr>
      <w:r w:rsidRPr="005E7196">
        <w:rPr>
          <w:b/>
          <w:bCs/>
        </w:rPr>
        <w:t>L’Agenzia delle Entrate non fornisce parametri predeterminati</w:t>
      </w:r>
      <w:r w:rsidRPr="005E7196">
        <w:t>, ma richiede ai contribuenti di motivare la ragionevolezza di compensi molto elevati in rapporto a utili/ricavi, per evitare il recupero a tassazione</w:t>
      </w:r>
      <w:r w:rsidR="00864BDC">
        <w:t xml:space="preserve"> parametrando</w:t>
      </w:r>
      <w:r w:rsidR="00FD0B84">
        <w:t>li a:</w:t>
      </w:r>
    </w:p>
    <w:p w14:paraId="1DB5DB15" w14:textId="77777777" w:rsidR="002347A0" w:rsidRPr="002347A0" w:rsidRDefault="002347A0" w:rsidP="002347A0">
      <w:pPr>
        <w:numPr>
          <w:ilvl w:val="0"/>
          <w:numId w:val="40"/>
        </w:numPr>
      </w:pPr>
      <w:r w:rsidRPr="002347A0">
        <w:t>Volume di ricavi e fatturato</w:t>
      </w:r>
    </w:p>
    <w:p w14:paraId="64A27810" w14:textId="77777777" w:rsidR="002347A0" w:rsidRPr="002347A0" w:rsidRDefault="002347A0" w:rsidP="002347A0">
      <w:pPr>
        <w:numPr>
          <w:ilvl w:val="0"/>
          <w:numId w:val="40"/>
        </w:numPr>
      </w:pPr>
      <w:r w:rsidRPr="002347A0">
        <w:t>Dimensioni aziendali</w:t>
      </w:r>
    </w:p>
    <w:p w14:paraId="47E4E9EF" w14:textId="77777777" w:rsidR="002347A0" w:rsidRPr="002347A0" w:rsidRDefault="002347A0" w:rsidP="002347A0">
      <w:pPr>
        <w:numPr>
          <w:ilvl w:val="0"/>
          <w:numId w:val="40"/>
        </w:numPr>
      </w:pPr>
      <w:r w:rsidRPr="002347A0">
        <w:t>Confronto con anni precedenti</w:t>
      </w:r>
    </w:p>
    <w:p w14:paraId="33EF53C9" w14:textId="27F63308" w:rsidR="002347A0" w:rsidRPr="002347A0" w:rsidRDefault="002347A0" w:rsidP="002347A0">
      <w:pPr>
        <w:numPr>
          <w:ilvl w:val="0"/>
          <w:numId w:val="40"/>
        </w:numPr>
      </w:pPr>
      <w:r w:rsidRPr="002347A0">
        <w:t>Ragioni economiche giustificative</w:t>
      </w:r>
    </w:p>
    <w:p w14:paraId="7F6E1750" w14:textId="77777777" w:rsidR="002347A0" w:rsidRPr="002347A0" w:rsidRDefault="002347A0" w:rsidP="00B210CB">
      <w:pPr>
        <w:pStyle w:val="Titolo4"/>
      </w:pPr>
      <w:r w:rsidRPr="002347A0">
        <w:t>Giurisprudenza di Cassazione: Sentenze Contrarie</w:t>
      </w:r>
    </w:p>
    <w:p w14:paraId="2699D513" w14:textId="6979E5C8" w:rsidR="002347A0" w:rsidRPr="002347A0" w:rsidRDefault="002347A0" w:rsidP="00F052C8">
      <w:pPr>
        <w:jc w:val="both"/>
      </w:pPr>
      <w:r w:rsidRPr="002347A0">
        <w:rPr>
          <w:b/>
          <w:bCs/>
        </w:rPr>
        <w:t>Cassazione n. 9036/2013</w:t>
      </w:r>
      <w:r w:rsidRPr="002347A0">
        <w:t>: Ha confermato la legittimità del recupero a tassazione di compensi sproporzionati, stabilendo che </w:t>
      </w:r>
      <w:r w:rsidRPr="002347A0">
        <w:rPr>
          <w:b/>
          <w:bCs/>
        </w:rPr>
        <w:t>"rientra nei poteri dell'Amministrazione finanziaria la valutazione di congruità dei costi"</w:t>
      </w:r>
      <w:r w:rsidRPr="002347A0">
        <w:t> anche in assenza di irregolarità contabili.</w:t>
      </w:r>
    </w:p>
    <w:p w14:paraId="769003C7" w14:textId="5BC54A73" w:rsidR="002347A0" w:rsidRPr="002347A0" w:rsidRDefault="002347A0" w:rsidP="00F052C8">
      <w:pPr>
        <w:jc w:val="both"/>
      </w:pPr>
      <w:r w:rsidRPr="002347A0">
        <w:rPr>
          <w:b/>
          <w:bCs/>
        </w:rPr>
        <w:lastRenderedPageBreak/>
        <w:t>Cassazione n. 24379/2016</w:t>
      </w:r>
      <w:r w:rsidRPr="002347A0">
        <w:t>: Ha ribadito che </w:t>
      </w:r>
      <w:r w:rsidRPr="002347A0">
        <w:rPr>
          <w:b/>
          <w:bCs/>
        </w:rPr>
        <w:t>"l'Amministrazione finanziaria è legittimata a negare la deducibilità parziale di un costo ritenuto sproporzionato ai ricavi"</w:t>
      </w:r>
      <w:r w:rsidRPr="002347A0">
        <w:t> se la società non fornisce plausibili ragioni giustificative.</w:t>
      </w:r>
    </w:p>
    <w:p w14:paraId="0DEDED3F" w14:textId="52EB93B9" w:rsidR="002347A0" w:rsidRPr="002347A0" w:rsidRDefault="002347A0" w:rsidP="00F052C8">
      <w:pPr>
        <w:jc w:val="both"/>
      </w:pPr>
      <w:r w:rsidRPr="002347A0">
        <w:rPr>
          <w:b/>
          <w:bCs/>
        </w:rPr>
        <w:t>Cassazione n. 3243/2013</w:t>
      </w:r>
      <w:r w:rsidRPr="002347A0">
        <w:t>: Ha affermato che </w:t>
      </w:r>
      <w:r w:rsidRPr="002347A0">
        <w:rPr>
          <w:b/>
          <w:bCs/>
        </w:rPr>
        <w:t>"l'Amministrazione finanziaria può sindacare la congruità dei compensi"</w:t>
      </w:r>
      <w:r w:rsidRPr="002347A0">
        <w:t xml:space="preserve"> non essendo vincolata ai valori indicati nelle delibere </w:t>
      </w:r>
      <w:proofErr w:type="gramStart"/>
      <w:r w:rsidRPr="002347A0">
        <w:t>sociali</w:t>
      </w:r>
      <w:r w:rsidR="00DE45F5">
        <w:t xml:space="preserve">, </w:t>
      </w:r>
      <w:r w:rsidR="00DE45F5" w:rsidRPr="00DE45F5">
        <w:t xml:space="preserve"> se</w:t>
      </w:r>
      <w:proofErr w:type="gramEnd"/>
      <w:r w:rsidR="00DE45F5" w:rsidRPr="00DE45F5">
        <w:t xml:space="preserve"> la società non fornisce prova della loro congruità economica.</w:t>
      </w:r>
    </w:p>
    <w:p w14:paraId="7BB3386A" w14:textId="77777777" w:rsidR="002347A0" w:rsidRPr="002347A0" w:rsidRDefault="002347A0" w:rsidP="00B36D9C">
      <w:pPr>
        <w:pStyle w:val="Titolo4"/>
      </w:pPr>
      <w:r w:rsidRPr="002347A0">
        <w:t>Orientamento Favorevole (Pro Contribuenti)</w:t>
      </w:r>
    </w:p>
    <w:p w14:paraId="258832FF" w14:textId="4D46BFF5" w:rsidR="002347A0" w:rsidRPr="002347A0" w:rsidRDefault="002347A0" w:rsidP="00F052C8">
      <w:pPr>
        <w:jc w:val="both"/>
      </w:pPr>
      <w:r w:rsidRPr="002347A0">
        <w:rPr>
          <w:b/>
          <w:bCs/>
        </w:rPr>
        <w:t>Cassazione n. 24957/2010</w:t>
      </w:r>
      <w:r w:rsidRPr="002347A0">
        <w:t>: Ha stabilito un principio favorevole affermando che </w:t>
      </w:r>
      <w:r w:rsidRPr="002347A0">
        <w:rPr>
          <w:b/>
          <w:bCs/>
        </w:rPr>
        <w:t>"la spettanza dei compensi degli amministratori è determinata dal consenso che si forma tra le parti, senza che all'Amministrazione sia riconosciuto un potere specifico di valutazione di congruità"</w:t>
      </w:r>
      <w:r w:rsidRPr="002347A0">
        <w:t>.</w:t>
      </w:r>
    </w:p>
    <w:p w14:paraId="7519171B" w14:textId="2D235D87" w:rsidR="002347A0" w:rsidRDefault="002347A0" w:rsidP="00F052C8">
      <w:pPr>
        <w:jc w:val="both"/>
      </w:pPr>
      <w:r w:rsidRPr="002347A0">
        <w:rPr>
          <w:b/>
          <w:bCs/>
        </w:rPr>
        <w:t>Cassazione n. 6599/2002</w:t>
      </w:r>
      <w:r w:rsidRPr="002347A0">
        <w:t>: Ha sostenuto che </w:t>
      </w:r>
      <w:r w:rsidRPr="002347A0">
        <w:rPr>
          <w:b/>
          <w:bCs/>
        </w:rPr>
        <w:t>"il giudizio di inerenza presenta solo un profilo qualitativo e non quantitativo"</w:t>
      </w:r>
      <w:r w:rsidRPr="002347A0">
        <w:t>, negando il potere di sindacato quantitativo dell'Amministrazione.</w:t>
      </w:r>
    </w:p>
    <w:p w14:paraId="2B3A9005" w14:textId="77777777" w:rsidR="002347A0" w:rsidRPr="002347A0" w:rsidRDefault="002347A0" w:rsidP="002347A0">
      <w:r w:rsidRPr="002347A0">
        <w:t>La giurisprudenza più recente ha chiarito che:</w:t>
      </w:r>
    </w:p>
    <w:p w14:paraId="00B3DFEB" w14:textId="40C7DF61" w:rsidR="002347A0" w:rsidRPr="002347A0" w:rsidRDefault="002347A0" w:rsidP="002347A0">
      <w:pPr>
        <w:numPr>
          <w:ilvl w:val="0"/>
          <w:numId w:val="41"/>
        </w:numPr>
      </w:pPr>
      <w:r w:rsidRPr="002347A0">
        <w:rPr>
          <w:b/>
          <w:bCs/>
        </w:rPr>
        <w:t>Sul contribuente</w:t>
      </w:r>
      <w:r w:rsidRPr="002347A0">
        <w:t> grava l'onere di provare l'inerenza dei compensi, anche sotto il profilo quantitativo</w:t>
      </w:r>
    </w:p>
    <w:p w14:paraId="0FA1F485" w14:textId="4ED17630" w:rsidR="002347A0" w:rsidRPr="002347A0" w:rsidRDefault="002347A0" w:rsidP="002347A0">
      <w:pPr>
        <w:numPr>
          <w:ilvl w:val="0"/>
          <w:numId w:val="41"/>
        </w:numPr>
      </w:pPr>
      <w:r w:rsidRPr="002347A0">
        <w:rPr>
          <w:b/>
          <w:bCs/>
        </w:rPr>
        <w:t>L'Amministrazione</w:t>
      </w:r>
      <w:r w:rsidRPr="002347A0">
        <w:t> deve motivare specificamente le ragioni della sproporzione</w:t>
      </w:r>
    </w:p>
    <w:p w14:paraId="532E43FF" w14:textId="77777777" w:rsidR="002347A0" w:rsidRPr="002347A0" w:rsidRDefault="002347A0" w:rsidP="002347A0">
      <w:pPr>
        <w:numPr>
          <w:ilvl w:val="0"/>
          <w:numId w:val="41"/>
        </w:numPr>
      </w:pPr>
      <w:r w:rsidRPr="002347A0">
        <w:rPr>
          <w:b/>
          <w:bCs/>
        </w:rPr>
        <w:t>La delibera assembleare</w:t>
      </w:r>
      <w:r w:rsidRPr="002347A0">
        <w:t> è condizione necessaria ma non sufficiente per la deducibilità</w:t>
      </w:r>
    </w:p>
    <w:p w14:paraId="49F6115E" w14:textId="7790F264" w:rsidR="007929CC" w:rsidRPr="002E3105" w:rsidRDefault="007929CC" w:rsidP="007929CC">
      <w:pPr>
        <w:pStyle w:val="Titolo2"/>
      </w:pPr>
      <w:r>
        <w:t>Non è solo una questione fiscale</w:t>
      </w:r>
    </w:p>
    <w:p w14:paraId="218CF40E" w14:textId="0C1FA682" w:rsidR="007929CC" w:rsidRDefault="007929CC" w:rsidP="007929CC">
      <w:pPr>
        <w:jc w:val="both"/>
      </w:pPr>
      <w:r>
        <w:t>La scelta tra dividendi e compensi</w:t>
      </w:r>
      <w:r w:rsidR="0018338D">
        <w:t>,</w:t>
      </w:r>
      <w:r>
        <w:t xml:space="preserve"> </w:t>
      </w:r>
      <w:r w:rsidR="0018338D">
        <w:t xml:space="preserve">anche in caso di </w:t>
      </w:r>
      <w:r>
        <w:t>neutra</w:t>
      </w:r>
      <w:r w:rsidR="0018338D">
        <w:t>lità</w:t>
      </w:r>
      <w:r>
        <w:t xml:space="preserve"> da un punto di vista finanziario</w:t>
      </w:r>
      <w:r w:rsidR="0018338D">
        <w:t>,</w:t>
      </w:r>
      <w:r>
        <w:t xml:space="preserve"> </w:t>
      </w:r>
      <w:r w:rsidRPr="00C97942">
        <w:rPr>
          <w:b/>
          <w:bCs/>
        </w:rPr>
        <w:t xml:space="preserve">impatta in maniera significativa </w:t>
      </w:r>
      <w:proofErr w:type="gramStart"/>
      <w:r w:rsidRPr="00C97942">
        <w:rPr>
          <w:b/>
          <w:bCs/>
        </w:rPr>
        <w:t>sui principali ratio</w:t>
      </w:r>
      <w:proofErr w:type="gramEnd"/>
      <w:r w:rsidRPr="00C97942">
        <w:rPr>
          <w:b/>
          <w:bCs/>
        </w:rPr>
        <w:t xml:space="preserve"> di bilancio</w:t>
      </w:r>
      <w:r>
        <w:t xml:space="preserve"> e in particolare migliora tutti gli indici di redditività (ROI, ROS, ROE, ROCE</w:t>
      </w:r>
      <w:r w:rsidR="0018338D">
        <w:t xml:space="preserve">) e di sostenibilità finanziaria (Ebitda/PFN, Mol/Of) </w:t>
      </w:r>
    </w:p>
    <w:p w14:paraId="1C8710C2" w14:textId="31FEB793" w:rsidR="007929CC" w:rsidRDefault="009870FE" w:rsidP="0018338D">
      <w:pPr>
        <w:jc w:val="both"/>
      </w:pPr>
      <w:r>
        <w:t xml:space="preserve">La scelta dei dividendi </w:t>
      </w:r>
      <w:r w:rsidR="0018338D">
        <w:t xml:space="preserve">può </w:t>
      </w:r>
      <w:r>
        <w:t xml:space="preserve">quindi </w:t>
      </w:r>
      <w:r w:rsidR="0018338D">
        <w:t>contribuire ad una maggiore bancabilità per l’azienda e in certi casi consent</w:t>
      </w:r>
      <w:r w:rsidR="000605B5">
        <w:t>ire</w:t>
      </w:r>
      <w:r w:rsidR="0018338D">
        <w:t xml:space="preserve"> l’accesso a finanziamenti altrimenti preclusi o</w:t>
      </w:r>
      <w:r w:rsidR="000605B5">
        <w:t xml:space="preserve"> </w:t>
      </w:r>
      <w:r w:rsidR="0018338D">
        <w:t xml:space="preserve">agevolare l’ingresso a </w:t>
      </w:r>
      <w:proofErr w:type="spellStart"/>
      <w:r w:rsidR="0018338D">
        <w:t>vendor</w:t>
      </w:r>
      <w:proofErr w:type="spellEnd"/>
      <w:r w:rsidR="0018338D">
        <w:t xml:space="preserve"> list o a gare di appalto.</w:t>
      </w:r>
    </w:p>
    <w:p w14:paraId="14BAA148" w14:textId="77777777" w:rsidR="00521B9F" w:rsidRDefault="00193F5D" w:rsidP="006D6BEF">
      <w:pPr>
        <w:jc w:val="both"/>
      </w:pPr>
      <w:r>
        <w:rPr>
          <w:noProof/>
        </w:rPr>
        <w:lastRenderedPageBreak/>
        <w:drawing>
          <wp:anchor distT="0" distB="0" distL="114300" distR="114300" simplePos="0" relativeHeight="251658240" behindDoc="0" locked="0" layoutInCell="1" allowOverlap="1" wp14:anchorId="6B5829C0" wp14:editId="13239F66">
            <wp:simplePos x="0" y="0"/>
            <wp:positionH relativeFrom="column">
              <wp:posOffset>-36195</wp:posOffset>
            </wp:positionH>
            <wp:positionV relativeFrom="paragraph">
              <wp:posOffset>53340</wp:posOffset>
            </wp:positionV>
            <wp:extent cx="2143125" cy="3040380"/>
            <wp:effectExtent l="0" t="0" r="9525" b="7620"/>
            <wp:wrapSquare wrapText="bothSides"/>
            <wp:docPr id="186728747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3125" cy="304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CE32B7">
        <w:t xml:space="preserve">Ipotizziamo che il bilancio </w:t>
      </w:r>
      <w:r w:rsidR="00D75CCD">
        <w:t xml:space="preserve">senza dividendi </w:t>
      </w:r>
      <w:r w:rsidR="008B256C">
        <w:t xml:space="preserve">né compensi </w:t>
      </w:r>
      <w:r w:rsidR="00D75CCD">
        <w:t xml:space="preserve">sia </w:t>
      </w:r>
      <w:r w:rsidR="006D6BEF">
        <w:t xml:space="preserve">quello rappresentato in figura. </w:t>
      </w:r>
    </w:p>
    <w:p w14:paraId="29BCF6A8" w14:textId="759761D6" w:rsidR="006D6BEF" w:rsidRDefault="00ED2308" w:rsidP="006D6BEF">
      <w:pPr>
        <w:jc w:val="both"/>
      </w:pPr>
      <w:r>
        <w:t>I</w:t>
      </w:r>
      <w:r>
        <w:t>potizzando che le ritenute applicate siano interamente versate e che l’amministratore sia stato pagato nell’esercizio</w:t>
      </w:r>
      <w:r>
        <w:t>, l</w:t>
      </w:r>
      <w:r w:rsidR="006D6BEF">
        <w:t xml:space="preserve">a scelta di distribuire dividendi o erogare compensi impatterà sul risultato ante imposte </w:t>
      </w:r>
      <w:r w:rsidR="006D6BEF" w:rsidRPr="000605B5">
        <w:rPr>
          <w:b/>
          <w:bCs/>
        </w:rPr>
        <w:t>e di conseguenza sull’IRES</w:t>
      </w:r>
      <w:r w:rsidR="006D6BEF">
        <w:t xml:space="preserve"> e sulla </w:t>
      </w:r>
      <w:r w:rsidR="000605B5">
        <w:t>liquidità</w:t>
      </w:r>
    </w:p>
    <w:p w14:paraId="2FF8F050" w14:textId="04060DF7" w:rsidR="00B81E5C" w:rsidRPr="00ED2308" w:rsidRDefault="00B81E5C" w:rsidP="00B81E5C">
      <w:pPr>
        <w:jc w:val="both"/>
      </w:pPr>
      <w:r>
        <w:t>R</w:t>
      </w:r>
      <w:r>
        <w:t>iprendiamo</w:t>
      </w:r>
      <w:r w:rsidR="00ED2308">
        <w:t xml:space="preserve"> a tal proposito,</w:t>
      </w:r>
      <w:r>
        <w:t xml:space="preserve"> l’ipotesi di neutralità dei netti</w:t>
      </w:r>
      <w:r w:rsidR="00AE0610">
        <w:t xml:space="preserve"> che prevede </w:t>
      </w:r>
      <w:r w:rsidR="00AE0610" w:rsidRPr="00ED2308">
        <w:rPr>
          <w:b/>
          <w:bCs/>
        </w:rPr>
        <w:t>compensi per 200.000 lordi</w:t>
      </w:r>
      <w:r w:rsidR="00AE0610">
        <w:t xml:space="preserve"> e </w:t>
      </w:r>
      <w:r w:rsidR="00AE0610" w:rsidRPr="00ED2308">
        <w:rPr>
          <w:b/>
          <w:bCs/>
        </w:rPr>
        <w:t xml:space="preserve">dividendi </w:t>
      </w:r>
      <w:r w:rsidR="004A3A43" w:rsidRPr="00ED2308">
        <w:rPr>
          <w:b/>
          <w:bCs/>
        </w:rPr>
        <w:t>lord</w:t>
      </w:r>
      <w:r w:rsidR="00ED2308" w:rsidRPr="00ED2308">
        <w:rPr>
          <w:b/>
          <w:bCs/>
        </w:rPr>
        <w:t>i</w:t>
      </w:r>
      <w:r w:rsidR="004A3A43" w:rsidRPr="00ED2308">
        <w:rPr>
          <w:b/>
          <w:bCs/>
        </w:rPr>
        <w:t xml:space="preserve"> </w:t>
      </w:r>
      <w:r w:rsidR="00AE0610" w:rsidRPr="00ED2308">
        <w:rPr>
          <w:b/>
          <w:bCs/>
        </w:rPr>
        <w:t>per 165.372</w:t>
      </w:r>
      <w:r w:rsidR="00ED2308">
        <w:t xml:space="preserve"> in maniera tale da garantire in ogni caso al socio un netto di </w:t>
      </w:r>
      <w:r w:rsidR="00056271">
        <w:t>92.188,04.</w:t>
      </w:r>
    </w:p>
    <w:p w14:paraId="03F16CCA" w14:textId="1B8E5D78" w:rsidR="00CE32B7" w:rsidRDefault="00DA4323" w:rsidP="00AC0F83">
      <w:pPr>
        <w:jc w:val="both"/>
        <w:rPr>
          <w:rFonts w:ascii="Aptos" w:hAnsi="Aptos"/>
        </w:rPr>
      </w:pPr>
      <w:r w:rsidRPr="00B80694">
        <w:rPr>
          <w:b/>
          <w:bCs/>
          <w:noProof/>
        </w:rPr>
        <mc:AlternateContent>
          <mc:Choice Requires="wps">
            <w:drawing>
              <wp:anchor distT="0" distB="0" distL="114300" distR="114300" simplePos="0" relativeHeight="251660288" behindDoc="0" locked="0" layoutInCell="1" allowOverlap="1" wp14:anchorId="713C3617" wp14:editId="4FE367E7">
                <wp:simplePos x="0" y="0"/>
                <wp:positionH relativeFrom="column">
                  <wp:posOffset>25922</wp:posOffset>
                </wp:positionH>
                <wp:positionV relativeFrom="paragraph">
                  <wp:posOffset>473874</wp:posOffset>
                </wp:positionV>
                <wp:extent cx="2080895" cy="635"/>
                <wp:effectExtent l="0" t="0" r="0" b="0"/>
                <wp:wrapSquare wrapText="bothSides"/>
                <wp:docPr id="191925463" name="Casella di testo 1"/>
                <wp:cNvGraphicFramePr/>
                <a:graphic xmlns:a="http://schemas.openxmlformats.org/drawingml/2006/main">
                  <a:graphicData uri="http://schemas.microsoft.com/office/word/2010/wordprocessingShape">
                    <wps:wsp>
                      <wps:cNvSpPr txBox="1"/>
                      <wps:spPr>
                        <a:xfrm>
                          <a:off x="0" y="0"/>
                          <a:ext cx="2080895" cy="635"/>
                        </a:xfrm>
                        <a:prstGeom prst="rect">
                          <a:avLst/>
                        </a:prstGeom>
                        <a:solidFill>
                          <a:prstClr val="white"/>
                        </a:solidFill>
                        <a:ln>
                          <a:noFill/>
                        </a:ln>
                      </wps:spPr>
                      <wps:txbx>
                        <w:txbxContent>
                          <w:p w14:paraId="563FC6D9" w14:textId="6F46BCDA" w:rsidR="00193F5D" w:rsidRPr="00FB5014" w:rsidRDefault="00193F5D" w:rsidP="00193F5D">
                            <w:pPr>
                              <w:pStyle w:val="Didascalia"/>
                              <w:rPr>
                                <w:noProof/>
                              </w:rPr>
                            </w:pPr>
                            <w:r>
                              <w:t xml:space="preserve">Figura </w:t>
                            </w:r>
                            <w:r>
                              <w:fldChar w:fldCharType="begin"/>
                            </w:r>
                            <w:r>
                              <w:instrText xml:space="preserve"> SEQ Figura \* ARABIC </w:instrText>
                            </w:r>
                            <w:r>
                              <w:fldChar w:fldCharType="separate"/>
                            </w:r>
                            <w:r w:rsidR="0040730A">
                              <w:rPr>
                                <w:noProof/>
                              </w:rPr>
                              <w:t>6</w:t>
                            </w:r>
                            <w:r>
                              <w:fldChar w:fldCharType="end"/>
                            </w:r>
                            <w:r>
                              <w:t xml:space="preserve">: </w:t>
                            </w:r>
                            <w:r w:rsidR="00701130">
                              <w:t>A</w:t>
                            </w:r>
                            <w:r>
                              <w:t>nte compensi e dividendi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13C3617" id="_x0000_t202" coordsize="21600,21600" o:spt="202" path="m,l,21600r21600,l21600,xe">
                <v:stroke joinstyle="miter"/>
                <v:path gradientshapeok="t" o:connecttype="rect"/>
              </v:shapetype>
              <v:shape id="Casella di testo 1" o:spid="_x0000_s1026" type="#_x0000_t202" style="position:absolute;left:0;text-align:left;margin-left:2.05pt;margin-top:37.3pt;width:163.8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" stroked="f">
                <v:textbox style="mso-fit-shape-to-text:t" inset="0,0,0,0">
                  <w:txbxContent>
                    <w:p w14:paraId="563FC6D9" w14:textId="6F46BCDA" w:rsidR="00193F5D" w:rsidRPr="00FB5014" w:rsidRDefault="00193F5D" w:rsidP="00193F5D">
                      <w:pPr>
                        <w:pStyle w:val="Didascalia"/>
                        <w:rPr>
                          <w:noProof/>
                        </w:rPr>
                      </w:pPr>
                      <w:r>
                        <w:t xml:space="preserve">Figura </w:t>
                      </w:r>
                      <w:r>
                        <w:fldChar w:fldCharType="begin"/>
                      </w:r>
                      <w:r>
                        <w:instrText xml:space="preserve"> SEQ Figura \* ARABIC </w:instrText>
                      </w:r>
                      <w:r>
                        <w:fldChar w:fldCharType="separate"/>
                      </w:r>
                      <w:r w:rsidR="0040730A">
                        <w:rPr>
                          <w:noProof/>
                        </w:rPr>
                        <w:t>6</w:t>
                      </w:r>
                      <w:r>
                        <w:fldChar w:fldCharType="end"/>
                      </w:r>
                      <w:r>
                        <w:t xml:space="preserve">: </w:t>
                      </w:r>
                      <w:r w:rsidR="00701130">
                        <w:t>A</w:t>
                      </w:r>
                      <w:r>
                        <w:t>nte compensi e dividendi</w:t>
                      </w:r>
                    </w:p>
                  </w:txbxContent>
                </v:textbox>
                <w10:wrap type="square"/>
              </v:shape>
            </w:pict>
          </mc:Fallback>
        </mc:AlternateContent>
      </w:r>
      <w:r w:rsidR="00AC0F83" w:rsidRPr="00B80694">
        <w:rPr>
          <w:rFonts w:ascii="Aptos" w:hAnsi="Aptos"/>
          <w:b/>
          <w:bCs/>
        </w:rPr>
        <w:t>L'erogazione di un compenso</w:t>
      </w:r>
      <w:r w:rsidR="00AC0F83" w:rsidRPr="00AC0F83">
        <w:rPr>
          <w:rFonts w:ascii="Aptos" w:hAnsi="Aptos"/>
        </w:rPr>
        <w:t xml:space="preserve"> comporterà una riduzione dell'onere fiscale ma porterà a un aumento degli esborsi finanziari, dovuti al carico contributivo. Il beneficio fiscale per la società si manifesterà </w:t>
      </w:r>
      <w:r w:rsidR="00A85813">
        <w:rPr>
          <w:rFonts w:ascii="Aptos" w:hAnsi="Aptos"/>
        </w:rPr>
        <w:t xml:space="preserve">finanziariamente </w:t>
      </w:r>
      <w:r w:rsidR="00AC0F83" w:rsidRPr="00AC0F83">
        <w:rPr>
          <w:rFonts w:ascii="Aptos" w:hAnsi="Aptos"/>
        </w:rPr>
        <w:t>esclusivamente nell'esercizio successivo.</w:t>
      </w:r>
    </w:p>
    <w:p w14:paraId="133FEA6A" w14:textId="6F49F9EA" w:rsidR="00DA4323" w:rsidRDefault="00056271" w:rsidP="00AC0F83">
      <w:pPr>
        <w:jc w:val="both"/>
        <w:rPr>
          <w:rFonts w:ascii="Aptos" w:hAnsi="Aptos"/>
        </w:rPr>
      </w:pPr>
      <w:r>
        <w:rPr>
          <w:noProof/>
        </w:rPr>
        <w:drawing>
          <wp:anchor distT="0" distB="0" distL="114300" distR="114300" simplePos="0" relativeHeight="251661312" behindDoc="0" locked="0" layoutInCell="1" allowOverlap="1" wp14:anchorId="55C0690F" wp14:editId="7304D177">
            <wp:simplePos x="0" y="0"/>
            <wp:positionH relativeFrom="column">
              <wp:posOffset>25400</wp:posOffset>
            </wp:positionH>
            <wp:positionV relativeFrom="paragraph">
              <wp:posOffset>479425</wp:posOffset>
            </wp:positionV>
            <wp:extent cx="3578860" cy="3684270"/>
            <wp:effectExtent l="0" t="0" r="2540" b="0"/>
            <wp:wrapSquare wrapText="bothSides"/>
            <wp:docPr id="1583634018" name="Immagine 1" descr="Immagine che contiene testo, menu,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34018" name="Immagine 1" descr="Immagine che contiene testo, menu, schermata, Carattere&#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3578860" cy="3684270"/>
                    </a:xfrm>
                    <a:prstGeom prst="rect">
                      <a:avLst/>
                    </a:prstGeom>
                  </pic:spPr>
                </pic:pic>
              </a:graphicData>
            </a:graphic>
            <wp14:sizeRelH relativeFrom="margin">
              <wp14:pctWidth>0</wp14:pctWidth>
            </wp14:sizeRelH>
            <wp14:sizeRelV relativeFrom="margin">
              <wp14:pctHeight>0</wp14:pctHeight>
            </wp14:sizeRelV>
          </wp:anchor>
        </w:drawing>
      </w:r>
      <w:r w:rsidR="00B80694">
        <w:rPr>
          <w:rFonts w:ascii="Aptos" w:hAnsi="Aptos"/>
        </w:rPr>
        <w:t>La distribuzione di dividendi invece avrà come effetto finanziario sull’esercizio</w:t>
      </w:r>
      <w:r w:rsidR="003600C0">
        <w:rPr>
          <w:rFonts w:ascii="Aptos" w:hAnsi="Aptos"/>
        </w:rPr>
        <w:t xml:space="preserve"> corrente la sola uscita di cassa di 165.367</w:t>
      </w:r>
      <w:r w:rsidR="00E6402F">
        <w:rPr>
          <w:rFonts w:ascii="Aptos" w:hAnsi="Aptos"/>
        </w:rPr>
        <w:t xml:space="preserve"> (netto distribuito + </w:t>
      </w:r>
      <w:r w:rsidR="004A3A43">
        <w:rPr>
          <w:rFonts w:ascii="Aptos" w:hAnsi="Aptos"/>
        </w:rPr>
        <w:t>ritenuta sui dividendi</w:t>
      </w:r>
      <w:r w:rsidR="00E6402F">
        <w:rPr>
          <w:rFonts w:ascii="Aptos" w:hAnsi="Aptos"/>
        </w:rPr>
        <w:t xml:space="preserve">). </w:t>
      </w:r>
    </w:p>
    <w:p w14:paraId="2B344EFF" w14:textId="72243D2F" w:rsidR="00F74BE3" w:rsidRDefault="00F74BE3" w:rsidP="00680536">
      <w:pPr>
        <w:jc w:val="both"/>
      </w:pPr>
      <w:r w:rsidRPr="00F74BE3">
        <w:t xml:space="preserve">Nel confronto tra le due ipotesi evidenziate nella tabella, emerge con chiarezza come, a parità di </w:t>
      </w:r>
      <w:r w:rsidR="00FF5452">
        <w:t>netto</w:t>
      </w:r>
      <w:r w:rsidRPr="00F74BE3">
        <w:t xml:space="preserve">, la scelta di distribuire dividendi anziché erogare compensi lordi porti ad un </w:t>
      </w:r>
      <w:r w:rsidRPr="00A3500D">
        <w:rPr>
          <w:b/>
          <w:bCs/>
        </w:rPr>
        <w:t>miglioramento significativo dell’EBITDA e del MOL</w:t>
      </w:r>
      <w:r w:rsidRPr="00F74BE3">
        <w:t>. Più nel dettaglio, nell’ipotesi di compensi lordi pari a 200.000, l’EBIT</w:t>
      </w:r>
      <w:r w:rsidR="009B2DC3">
        <w:t>DA</w:t>
      </w:r>
      <w:r w:rsidR="00264DCC">
        <w:t xml:space="preserve"> </w:t>
      </w:r>
      <w:r w:rsidRPr="00F74BE3">
        <w:t xml:space="preserve">dell’azienda si riduce </w:t>
      </w:r>
      <w:r w:rsidR="00A23C21">
        <w:t>di</w:t>
      </w:r>
      <w:r w:rsidR="00DC2066">
        <w:t xml:space="preserve"> quasi un terzo</w:t>
      </w:r>
      <w:r w:rsidR="00A23C21">
        <w:t xml:space="preserve"> </w:t>
      </w:r>
      <w:r w:rsidR="00A3500D">
        <w:t>(</w:t>
      </w:r>
      <w:r w:rsidR="00A23C21">
        <w:t>228.</w:t>
      </w:r>
      <w:r w:rsidR="00DC2066">
        <w:t>166</w:t>
      </w:r>
      <w:r w:rsidR="00A3500D">
        <w:t>)</w:t>
      </w:r>
      <w:r w:rsidRPr="00F74BE3">
        <w:t xml:space="preserve">. Questo effetto si riflette direttamente sull’indice EBITDA/PFN, che passa da </w:t>
      </w:r>
      <w:r w:rsidR="00684511">
        <w:t xml:space="preserve">6,77 </w:t>
      </w:r>
      <w:r w:rsidRPr="00F74BE3">
        <w:t xml:space="preserve">nel primo scenario a </w:t>
      </w:r>
      <w:r w:rsidR="00684511">
        <w:t>5,17</w:t>
      </w:r>
      <w:r w:rsidRPr="00F74BE3">
        <w:t xml:space="preserve"> nel secondo</w:t>
      </w:r>
      <w:r w:rsidR="00680536">
        <w:t>.</w:t>
      </w:r>
    </w:p>
    <w:p w14:paraId="49344AF1" w14:textId="77777777" w:rsidR="00A3500D" w:rsidRDefault="00056271" w:rsidP="00680536">
      <w:pPr>
        <w:jc w:val="both"/>
      </w:pPr>
      <w:r>
        <w:rPr>
          <w:noProof/>
        </w:rPr>
        <mc:AlternateContent>
          <mc:Choice Requires="wps">
            <w:drawing>
              <wp:anchor distT="0" distB="0" distL="114300" distR="114300" simplePos="0" relativeHeight="251663360" behindDoc="0" locked="0" layoutInCell="1" allowOverlap="1" wp14:anchorId="5388FA16" wp14:editId="19326C4C">
                <wp:simplePos x="0" y="0"/>
                <wp:positionH relativeFrom="column">
                  <wp:posOffset>64770</wp:posOffset>
                </wp:positionH>
                <wp:positionV relativeFrom="paragraph">
                  <wp:posOffset>598805</wp:posOffset>
                </wp:positionV>
                <wp:extent cx="3494405" cy="635"/>
                <wp:effectExtent l="0" t="0" r="0" b="0"/>
                <wp:wrapSquare wrapText="bothSides"/>
                <wp:docPr id="460049440" name="Casella di testo 1"/>
                <wp:cNvGraphicFramePr/>
                <a:graphic xmlns:a="http://schemas.openxmlformats.org/drawingml/2006/main">
                  <a:graphicData uri="http://schemas.microsoft.com/office/word/2010/wordprocessingShape">
                    <wps:wsp>
                      <wps:cNvSpPr txBox="1"/>
                      <wps:spPr>
                        <a:xfrm>
                          <a:off x="0" y="0"/>
                          <a:ext cx="3494405" cy="635"/>
                        </a:xfrm>
                        <a:prstGeom prst="rect">
                          <a:avLst/>
                        </a:prstGeom>
                        <a:solidFill>
                          <a:prstClr val="white"/>
                        </a:solidFill>
                        <a:ln>
                          <a:noFill/>
                        </a:ln>
                      </wps:spPr>
                      <wps:txbx>
                        <w:txbxContent>
                          <w:p w14:paraId="4CC337F6" w14:textId="4F4C2D76" w:rsidR="00E70417" w:rsidRPr="00C50289" w:rsidRDefault="00E70417" w:rsidP="00E70417">
                            <w:pPr>
                              <w:pStyle w:val="Didascalia"/>
                              <w:rPr>
                                <w:noProof/>
                              </w:rPr>
                            </w:pPr>
                            <w:r>
                              <w:t xml:space="preserve">Figura </w:t>
                            </w:r>
                            <w:r>
                              <w:fldChar w:fldCharType="begin"/>
                            </w:r>
                            <w:r>
                              <w:instrText xml:space="preserve"> SEQ Figura \* ARABIC </w:instrText>
                            </w:r>
                            <w:r>
                              <w:fldChar w:fldCharType="separate"/>
                            </w:r>
                            <w:r w:rsidR="0040730A">
                              <w:rPr>
                                <w:noProof/>
                              </w:rPr>
                              <w:t>7</w:t>
                            </w:r>
                            <w:r>
                              <w:fldChar w:fldCharType="end"/>
                            </w:r>
                            <w:r>
                              <w:t>: Impatti sul bilancio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88FA16" id="_x0000_s1027" type="#_x0000_t202" style="position:absolute;left:0;text-align:left;margin-left:5.1pt;margin-top:47.15pt;width:275.1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a/GQIAAD8EAAAOAAAAZHJzL2Uyb0RvYy54bWysU8Fu2zAMvQ/YPwi6L07atF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" stroked="f">
                <v:textbox style="mso-fit-shape-to-text:t" inset="0,0,0,0">
                  <w:txbxContent>
                    <w:p w14:paraId="4CC337F6" w14:textId="4F4C2D76" w:rsidR="00E70417" w:rsidRPr="00C50289" w:rsidRDefault="00E70417" w:rsidP="00E70417">
                      <w:pPr>
                        <w:pStyle w:val="Didascalia"/>
                        <w:rPr>
                          <w:noProof/>
                        </w:rPr>
                      </w:pPr>
                      <w:r>
                        <w:t xml:space="preserve">Figura </w:t>
                      </w:r>
                      <w:r>
                        <w:fldChar w:fldCharType="begin"/>
                      </w:r>
                      <w:r>
                        <w:instrText xml:space="preserve"> SEQ Figura \* ARABIC </w:instrText>
                      </w:r>
                      <w:r>
                        <w:fldChar w:fldCharType="separate"/>
                      </w:r>
                      <w:r w:rsidR="0040730A">
                        <w:rPr>
                          <w:noProof/>
                        </w:rPr>
                        <w:t>7</w:t>
                      </w:r>
                      <w:r>
                        <w:fldChar w:fldCharType="end"/>
                      </w:r>
                      <w:r>
                        <w:t>: Impatti sul bilancio</w:t>
                      </w:r>
                    </w:p>
                  </w:txbxContent>
                </v:textbox>
                <w10:wrap type="square"/>
              </v:shape>
            </w:pict>
          </mc:Fallback>
        </mc:AlternateContent>
      </w:r>
      <w:r w:rsidR="00680536">
        <w:t xml:space="preserve">È appena il caso di ricordare </w:t>
      </w:r>
      <w:r w:rsidR="009B13C1">
        <w:t xml:space="preserve">che </w:t>
      </w:r>
      <w:r w:rsidR="00B72CC9">
        <w:t xml:space="preserve">il superamento della soglia 6 rischia di compromettere il rating bancario </w:t>
      </w:r>
      <w:r w:rsidR="0081369C">
        <w:t>classifica</w:t>
      </w:r>
      <w:r w:rsidR="00991744">
        <w:t>ndo l’azienda in stage 2 ai sensi dell’IFRS 9.</w:t>
      </w:r>
      <w:r w:rsidR="0010060B">
        <w:t xml:space="preserve"> </w:t>
      </w:r>
    </w:p>
    <w:p w14:paraId="03AFCBEA" w14:textId="1F567B28" w:rsidR="00680536" w:rsidRDefault="0010060B" w:rsidP="00680536">
      <w:pPr>
        <w:jc w:val="both"/>
      </w:pPr>
      <w:r>
        <w:lastRenderedPageBreak/>
        <w:t xml:space="preserve">La scelta del dividendo in luogo del compenso non risolve il problema </w:t>
      </w:r>
      <w:r w:rsidR="006E2644">
        <w:t xml:space="preserve">del sovraindebitamento finanziario, </w:t>
      </w:r>
      <w:r>
        <w:t xml:space="preserve">che dovrà comunque </w:t>
      </w:r>
      <w:r w:rsidR="00A87589">
        <w:t xml:space="preserve">essere affrontato in sede </w:t>
      </w:r>
      <w:r w:rsidR="004B3539">
        <w:t>direzionale</w:t>
      </w:r>
      <w:r w:rsidR="006E2644">
        <w:t xml:space="preserve"> con le opportune iniziative</w:t>
      </w:r>
      <w:r w:rsidR="00E477AE">
        <w:t>,</w:t>
      </w:r>
      <w:r w:rsidR="004B3539">
        <w:t xml:space="preserve"> ma</w:t>
      </w:r>
      <w:r w:rsidR="00E477AE">
        <w:t>,</w:t>
      </w:r>
      <w:r w:rsidR="004B3539">
        <w:t xml:space="preserve"> per lo meno</w:t>
      </w:r>
      <w:r w:rsidR="00E477AE">
        <w:t xml:space="preserve">, ne </w:t>
      </w:r>
      <w:r w:rsidR="006E2644">
        <w:t xml:space="preserve">potrebbe </w:t>
      </w:r>
      <w:r w:rsidR="00E477AE">
        <w:t>ritarda</w:t>
      </w:r>
      <w:r w:rsidR="006E2644">
        <w:t>re</w:t>
      </w:r>
      <w:r w:rsidR="00E477AE">
        <w:t xml:space="preserve"> gli effetti sulla concessione del credito.</w:t>
      </w:r>
      <w:r w:rsidR="004B3539">
        <w:t xml:space="preserve"> </w:t>
      </w:r>
    </w:p>
    <w:p w14:paraId="1CC25C4A" w14:textId="1A447602" w:rsidR="007929CC" w:rsidRDefault="007929CC" w:rsidP="007929CC">
      <w:pPr>
        <w:pStyle w:val="Titolo2"/>
      </w:pPr>
      <w:r>
        <w:t>Conclusione</w:t>
      </w:r>
    </w:p>
    <w:p w14:paraId="5EF93F5C" w14:textId="77777777" w:rsidR="00804619" w:rsidRPr="00804619" w:rsidRDefault="00804619" w:rsidP="00804619">
      <w:pPr>
        <w:jc w:val="both"/>
      </w:pPr>
      <w:r w:rsidRPr="00804619">
        <w:t>L'analisi condotta evidenzia come la scelta tra le due forme di remunerazione del socio-amministratore debba essere valutata alla luce di molteplici variabili, che possono essere sistematizzate secondo i seguenti criteri decisionali.</w:t>
      </w:r>
    </w:p>
    <w:p w14:paraId="1B009EB1" w14:textId="77777777" w:rsidR="00804619" w:rsidRPr="00804619" w:rsidRDefault="00804619" w:rsidP="00804619">
      <w:r w:rsidRPr="00804619">
        <w:rPr>
          <w:b/>
          <w:bCs/>
        </w:rPr>
        <w:t>Fattori che orientano verso la distribuzione di dividendi:</w:t>
      </w:r>
    </w:p>
    <w:p w14:paraId="01D49FDB" w14:textId="77777777" w:rsidR="00804619" w:rsidRPr="00804619" w:rsidRDefault="00804619" w:rsidP="00820788">
      <w:pPr>
        <w:numPr>
          <w:ilvl w:val="0"/>
          <w:numId w:val="47"/>
        </w:numPr>
        <w:jc w:val="both"/>
      </w:pPr>
      <w:r w:rsidRPr="00804619">
        <w:rPr>
          <w:b/>
          <w:bCs/>
        </w:rPr>
        <w:t>Forma societaria</w:t>
      </w:r>
      <w:r w:rsidRPr="00804619">
        <w:t>: Le SPA, non essendo soggette ai contributi IVS, presentano un vantaggio strutturale rispetto alle SRL</w:t>
      </w:r>
    </w:p>
    <w:p w14:paraId="550546D6" w14:textId="77777777" w:rsidR="00804619" w:rsidRPr="00804619" w:rsidRDefault="00804619" w:rsidP="00820788">
      <w:pPr>
        <w:numPr>
          <w:ilvl w:val="0"/>
          <w:numId w:val="47"/>
        </w:numPr>
        <w:jc w:val="both"/>
      </w:pPr>
      <w:r w:rsidRPr="00804619">
        <w:rPr>
          <w:b/>
          <w:bCs/>
        </w:rPr>
        <w:t>Natura dell'attività del socio</w:t>
      </w:r>
      <w:r w:rsidRPr="00804619">
        <w:t>: L'assenza di partecipazione diretta all'attività operativa esclude l'obbligo contributivo IVS</w:t>
      </w:r>
    </w:p>
    <w:p w14:paraId="467B5503" w14:textId="77777777" w:rsidR="00804619" w:rsidRPr="00804619" w:rsidRDefault="00804619" w:rsidP="00820788">
      <w:pPr>
        <w:numPr>
          <w:ilvl w:val="0"/>
          <w:numId w:val="47"/>
        </w:numPr>
        <w:jc w:val="both"/>
      </w:pPr>
      <w:r w:rsidRPr="00804619">
        <w:rPr>
          <w:b/>
          <w:bCs/>
        </w:rPr>
        <w:t>Situazione previdenziale</w:t>
      </w:r>
      <w:r w:rsidRPr="00804619">
        <w:t>: Amministratori già pensionati o con copertura previdenziale alternativa non necessitano di ulteriore contribuzione</w:t>
      </w:r>
    </w:p>
    <w:p w14:paraId="047939B2" w14:textId="77777777" w:rsidR="00804619" w:rsidRPr="00804619" w:rsidRDefault="00804619" w:rsidP="00820788">
      <w:pPr>
        <w:numPr>
          <w:ilvl w:val="0"/>
          <w:numId w:val="47"/>
        </w:numPr>
        <w:jc w:val="both"/>
      </w:pPr>
      <w:r w:rsidRPr="00804619">
        <w:rPr>
          <w:b/>
          <w:bCs/>
        </w:rPr>
        <w:t>Esigenze di bilancio</w:t>
      </w:r>
      <w:r w:rsidRPr="00804619">
        <w:t>: Il miglioramento degli indici di redditività e sostenibilità finanziaria può facilitare l'accesso al credito</w:t>
      </w:r>
    </w:p>
    <w:p w14:paraId="39A720D4" w14:textId="77777777" w:rsidR="00804619" w:rsidRDefault="00804619" w:rsidP="00820788">
      <w:pPr>
        <w:numPr>
          <w:ilvl w:val="0"/>
          <w:numId w:val="47"/>
        </w:numPr>
        <w:jc w:val="both"/>
      </w:pPr>
      <w:r w:rsidRPr="00804619">
        <w:rPr>
          <w:b/>
          <w:bCs/>
        </w:rPr>
        <w:t>Proporzionalità del compenso</w:t>
      </w:r>
      <w:r w:rsidRPr="00804619">
        <w:t>: Compensi significativamente elevati rispetto al fatturato aziendale possono essere oggetto di sindacato fiscale</w:t>
      </w:r>
    </w:p>
    <w:p w14:paraId="10CA34AA" w14:textId="0547E270" w:rsidR="00F368B2" w:rsidRPr="00804619" w:rsidRDefault="00F368B2" w:rsidP="00820788">
      <w:pPr>
        <w:numPr>
          <w:ilvl w:val="0"/>
          <w:numId w:val="47"/>
        </w:numPr>
        <w:jc w:val="both"/>
      </w:pPr>
      <w:r>
        <w:rPr>
          <w:b/>
          <w:bCs/>
        </w:rPr>
        <w:t>La presenza di altri redditi personali</w:t>
      </w:r>
      <w:r w:rsidRPr="00F368B2">
        <w:t>:</w:t>
      </w:r>
      <w:r>
        <w:t xml:space="preserve"> </w:t>
      </w:r>
      <w:r w:rsidR="00597B49">
        <w:t xml:space="preserve">la presenza di una base imponibile da sommare al compenso alzerebbe l’aliquota marginale mentre nel caso di distribuzione dividendi godrebbe della </w:t>
      </w:r>
      <w:r w:rsidR="00251CEC">
        <w:t xml:space="preserve">deduzione degli </w:t>
      </w:r>
      <w:r w:rsidR="003F417D">
        <w:t>oneri contributivi IVS.</w:t>
      </w:r>
    </w:p>
    <w:p w14:paraId="5BA34393" w14:textId="77777777" w:rsidR="00804619" w:rsidRPr="00804619" w:rsidRDefault="00804619" w:rsidP="00804619">
      <w:r w:rsidRPr="00804619">
        <w:rPr>
          <w:b/>
          <w:bCs/>
        </w:rPr>
        <w:t>Fattori che orientano verso l'erogazione di compensi:</w:t>
      </w:r>
    </w:p>
    <w:p w14:paraId="21644116" w14:textId="77777777" w:rsidR="00804619" w:rsidRPr="00804619" w:rsidRDefault="00804619" w:rsidP="00820788">
      <w:pPr>
        <w:numPr>
          <w:ilvl w:val="0"/>
          <w:numId w:val="48"/>
        </w:numPr>
        <w:jc w:val="both"/>
      </w:pPr>
      <w:r w:rsidRPr="00804619">
        <w:rPr>
          <w:b/>
          <w:bCs/>
        </w:rPr>
        <w:t>Fabbisogno previdenziale</w:t>
      </w:r>
      <w:r w:rsidRPr="00804619">
        <w:t>: La necessità di costruire una posizione contributiva adeguata</w:t>
      </w:r>
    </w:p>
    <w:p w14:paraId="1E21A4F0" w14:textId="77777777" w:rsidR="00804619" w:rsidRPr="00804619" w:rsidRDefault="00804619" w:rsidP="00820788">
      <w:pPr>
        <w:numPr>
          <w:ilvl w:val="0"/>
          <w:numId w:val="48"/>
        </w:numPr>
        <w:jc w:val="both"/>
      </w:pPr>
      <w:r w:rsidRPr="00804619">
        <w:rPr>
          <w:b/>
          <w:bCs/>
        </w:rPr>
        <w:t>Entità della remunerazione</w:t>
      </w:r>
      <w:r w:rsidRPr="00804619">
        <w:t>: Importi contenuti entro i massimali contributivi ottimizzano il rapporto costi/benefici</w:t>
      </w:r>
    </w:p>
    <w:p w14:paraId="0BC14AA8" w14:textId="77777777" w:rsidR="00804619" w:rsidRPr="00804619" w:rsidRDefault="00804619" w:rsidP="00820788">
      <w:pPr>
        <w:numPr>
          <w:ilvl w:val="0"/>
          <w:numId w:val="48"/>
        </w:numPr>
        <w:jc w:val="both"/>
      </w:pPr>
      <w:r w:rsidRPr="00804619">
        <w:rPr>
          <w:b/>
          <w:bCs/>
        </w:rPr>
        <w:t>Struttura del reddito societario</w:t>
      </w:r>
      <w:r w:rsidRPr="00804619">
        <w:t>: Utili limitati possono non consentire distribuzioni significative</w:t>
      </w:r>
    </w:p>
    <w:p w14:paraId="1159BCBE" w14:textId="77777777" w:rsidR="00804619" w:rsidRPr="00804619" w:rsidRDefault="00804619" w:rsidP="00820788">
      <w:pPr>
        <w:numPr>
          <w:ilvl w:val="0"/>
          <w:numId w:val="48"/>
        </w:numPr>
        <w:jc w:val="both"/>
      </w:pPr>
      <w:r w:rsidRPr="00804619">
        <w:rPr>
          <w:b/>
          <w:bCs/>
        </w:rPr>
        <w:t>Ottimizzazione fiscale complessiva</w:t>
      </w:r>
      <w:r w:rsidRPr="00804619">
        <w:t>: La deducibilità dei compensi può risultare conveniente in presenza di redditi societari elevati</w:t>
      </w:r>
    </w:p>
    <w:p w14:paraId="7BEA9CB1" w14:textId="1329B25F" w:rsidR="009B0748" w:rsidRDefault="009B0748" w:rsidP="00552DE6">
      <w:pPr>
        <w:jc w:val="both"/>
      </w:pPr>
      <w:r>
        <w:t>In alcuni casi, u</w:t>
      </w:r>
      <w:r w:rsidRPr="009B0748">
        <w:t>n approccio che combini compensi e dividendi potrebbe rappresentare la strategia migliore per ottimizzare il carico fiscale e previdenziale complessivo, pur rimanendo entro i limiti della congruità.</w:t>
      </w:r>
    </w:p>
    <w:p w14:paraId="4E2F7312" w14:textId="79A64D26" w:rsidR="008105B6" w:rsidRDefault="00552DE6" w:rsidP="00552DE6">
      <w:pPr>
        <w:jc w:val="both"/>
      </w:pPr>
      <w:r>
        <w:lastRenderedPageBreak/>
        <w:t>Ritengo</w:t>
      </w:r>
      <w:r w:rsidRPr="00552DE6">
        <w:t xml:space="preserve"> doveroso </w:t>
      </w:r>
      <w:r w:rsidRPr="00552DE6">
        <w:rPr>
          <w:b/>
          <w:bCs/>
        </w:rPr>
        <w:t>mettere in guardia</w:t>
      </w:r>
      <w:r w:rsidRPr="00552DE6">
        <w:t xml:space="preserve"> contro la proliferazione di contenuti digitali che propongono </w:t>
      </w:r>
      <w:r w:rsidRPr="00552DE6">
        <w:rPr>
          <w:b/>
          <w:bCs/>
        </w:rPr>
        <w:t>soluzioni fiscali "ottimali" attraverso formule preconfezionate</w:t>
      </w:r>
      <w:r w:rsidRPr="00552DE6">
        <w:t xml:space="preserve"> e algoritmi semplicistici. La materia tributaria e previdenziale non tollera approcci standardizzati: ogni situazione aziendale presenta specificità che richiedono valutazioni personalizzate e approfondite.</w:t>
      </w:r>
      <w:r w:rsidR="00665973">
        <w:t xml:space="preserve"> </w:t>
      </w:r>
      <w:r w:rsidRPr="00552DE6">
        <w:t>L'illusione di poter ridurre questioni complesse a mere scelte binarie costituisce un grave disservizio alla categoria professionale e, soprattutto, un rischio concreto per le aziende che potrebbero affidarsi a consulenze improvvisate.</w:t>
      </w:r>
      <w:r w:rsidR="008D1FB4">
        <w:t xml:space="preserve"> </w:t>
      </w:r>
    </w:p>
    <w:p w14:paraId="0EC890D4" w14:textId="4AA2BC7B" w:rsidR="00552DE6" w:rsidRPr="00552DE6" w:rsidRDefault="00D9428A" w:rsidP="00D9428A">
      <w:pPr>
        <w:jc w:val="both"/>
      </w:pPr>
      <w:r w:rsidRPr="00D9428A">
        <w:t>La fiscalità</w:t>
      </w:r>
      <w:r>
        <w:t xml:space="preserve"> e la gestione</w:t>
      </w:r>
      <w:r w:rsidRPr="00D9428A">
        <w:t xml:space="preserve"> d'impresa </w:t>
      </w:r>
      <w:r w:rsidR="00EA5FDD" w:rsidRPr="00D9428A">
        <w:t>non</w:t>
      </w:r>
      <w:r w:rsidR="00EA5FDD">
        <w:t xml:space="preserve"> </w:t>
      </w:r>
      <w:r w:rsidR="00EA5FDD" w:rsidRPr="00D9428A">
        <w:t>tollerano</w:t>
      </w:r>
      <w:r w:rsidRPr="00D9428A">
        <w:t xml:space="preserve"> improvvisazioni: richied</w:t>
      </w:r>
      <w:r w:rsidR="00EA5FDD">
        <w:t>ono</w:t>
      </w:r>
      <w:r w:rsidRPr="00D9428A">
        <w:t xml:space="preserve"> visione strategica, competenza tecnica e la consapevolezza che ogni scelta di oggi diventerà il precedente di domani</w:t>
      </w:r>
      <w:r w:rsidR="009E6BE8">
        <w:t>. L</w:t>
      </w:r>
      <w:r w:rsidR="009E6BE8" w:rsidRPr="009E6BE8">
        <w:t xml:space="preserve">'unica </w:t>
      </w:r>
      <w:r w:rsidR="009E6BE8" w:rsidRPr="009E6BE8">
        <w:rPr>
          <w:i/>
          <w:iCs/>
        </w:rPr>
        <w:t>ricetta segreta</w:t>
      </w:r>
      <w:r w:rsidR="009E6BE8">
        <w:t xml:space="preserve"> rimane </w:t>
      </w:r>
      <w:r w:rsidR="009E6BE8" w:rsidRPr="009E6BE8">
        <w:t>la competenza: tutto il resto è marketing pericoloso</w:t>
      </w:r>
      <w:r w:rsidR="009E6BE8">
        <w:t>.</w:t>
      </w:r>
    </w:p>
    <w:sectPr w:rsidR="00552DE6" w:rsidRPr="00552DE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33C"/>
    <w:multiLevelType w:val="multilevel"/>
    <w:tmpl w:val="408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797A"/>
    <w:multiLevelType w:val="hybridMultilevel"/>
    <w:tmpl w:val="22709F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3B61A3D"/>
    <w:multiLevelType w:val="hybridMultilevel"/>
    <w:tmpl w:val="B3F0B2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A835D3"/>
    <w:multiLevelType w:val="multilevel"/>
    <w:tmpl w:val="2BB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41858"/>
    <w:multiLevelType w:val="multilevel"/>
    <w:tmpl w:val="39AC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71BF8"/>
    <w:multiLevelType w:val="hybridMultilevel"/>
    <w:tmpl w:val="664277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67702AF"/>
    <w:multiLevelType w:val="multilevel"/>
    <w:tmpl w:val="5192B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11E1F"/>
    <w:multiLevelType w:val="multilevel"/>
    <w:tmpl w:val="7446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97E10"/>
    <w:multiLevelType w:val="hybridMultilevel"/>
    <w:tmpl w:val="09E4C7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9BB60EE"/>
    <w:multiLevelType w:val="hybridMultilevel"/>
    <w:tmpl w:val="98FA16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C07700A"/>
    <w:multiLevelType w:val="hybridMultilevel"/>
    <w:tmpl w:val="19B452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12678E5"/>
    <w:multiLevelType w:val="multilevel"/>
    <w:tmpl w:val="78BA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C72395"/>
    <w:multiLevelType w:val="multilevel"/>
    <w:tmpl w:val="8C4C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F74CE"/>
    <w:multiLevelType w:val="multilevel"/>
    <w:tmpl w:val="AEE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046E2"/>
    <w:multiLevelType w:val="multilevel"/>
    <w:tmpl w:val="1F32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24051"/>
    <w:multiLevelType w:val="multilevel"/>
    <w:tmpl w:val="534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323D4"/>
    <w:multiLevelType w:val="multilevel"/>
    <w:tmpl w:val="6E3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42045"/>
    <w:multiLevelType w:val="multilevel"/>
    <w:tmpl w:val="5278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792675"/>
    <w:multiLevelType w:val="hybridMultilevel"/>
    <w:tmpl w:val="533482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B3928D6"/>
    <w:multiLevelType w:val="hybridMultilevel"/>
    <w:tmpl w:val="8F8A20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E2A2549"/>
    <w:multiLevelType w:val="hybridMultilevel"/>
    <w:tmpl w:val="E29C17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E754AC9"/>
    <w:multiLevelType w:val="multilevel"/>
    <w:tmpl w:val="7F84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55232"/>
    <w:multiLevelType w:val="multilevel"/>
    <w:tmpl w:val="1DA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33DC0"/>
    <w:multiLevelType w:val="multilevel"/>
    <w:tmpl w:val="4824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069AE"/>
    <w:multiLevelType w:val="hybridMultilevel"/>
    <w:tmpl w:val="F5B26A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1894DAF"/>
    <w:multiLevelType w:val="multilevel"/>
    <w:tmpl w:val="E946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53F6A"/>
    <w:multiLevelType w:val="multilevel"/>
    <w:tmpl w:val="317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E400C"/>
    <w:multiLevelType w:val="multilevel"/>
    <w:tmpl w:val="8E12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C234E"/>
    <w:multiLevelType w:val="multilevel"/>
    <w:tmpl w:val="207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F1859"/>
    <w:multiLevelType w:val="hybridMultilevel"/>
    <w:tmpl w:val="94D8B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DFF5CA0"/>
    <w:multiLevelType w:val="hybridMultilevel"/>
    <w:tmpl w:val="68B8F1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F6030FD"/>
    <w:multiLevelType w:val="multilevel"/>
    <w:tmpl w:val="4438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16DF5"/>
    <w:multiLevelType w:val="multilevel"/>
    <w:tmpl w:val="61F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A8415D"/>
    <w:multiLevelType w:val="multilevel"/>
    <w:tmpl w:val="9F4C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E483D"/>
    <w:multiLevelType w:val="multilevel"/>
    <w:tmpl w:val="42C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F4017"/>
    <w:multiLevelType w:val="hybridMultilevel"/>
    <w:tmpl w:val="D8E2CE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67559BA"/>
    <w:multiLevelType w:val="multilevel"/>
    <w:tmpl w:val="20F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0B286B"/>
    <w:multiLevelType w:val="hybridMultilevel"/>
    <w:tmpl w:val="95B00D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83A4AB3"/>
    <w:multiLevelType w:val="multilevel"/>
    <w:tmpl w:val="0CB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E2FBA"/>
    <w:multiLevelType w:val="multilevel"/>
    <w:tmpl w:val="6CC8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26E87"/>
    <w:multiLevelType w:val="hybridMultilevel"/>
    <w:tmpl w:val="0D525A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EAD2AED"/>
    <w:multiLevelType w:val="multilevel"/>
    <w:tmpl w:val="26AA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D2404"/>
    <w:multiLevelType w:val="multilevel"/>
    <w:tmpl w:val="E1C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030E11"/>
    <w:multiLevelType w:val="multilevel"/>
    <w:tmpl w:val="90B2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387838"/>
    <w:multiLevelType w:val="multilevel"/>
    <w:tmpl w:val="7C2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433FD"/>
    <w:multiLevelType w:val="multilevel"/>
    <w:tmpl w:val="815C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E0C86"/>
    <w:multiLevelType w:val="hybridMultilevel"/>
    <w:tmpl w:val="3F0C3D0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9EC26D5"/>
    <w:multiLevelType w:val="multilevel"/>
    <w:tmpl w:val="F6CC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008385">
    <w:abstractNumId w:val="37"/>
  </w:num>
  <w:num w:numId="2" w16cid:durableId="1142387729">
    <w:abstractNumId w:val="2"/>
  </w:num>
  <w:num w:numId="3" w16cid:durableId="1475758470">
    <w:abstractNumId w:val="35"/>
  </w:num>
  <w:num w:numId="4" w16cid:durableId="1461265023">
    <w:abstractNumId w:val="10"/>
  </w:num>
  <w:num w:numId="5" w16cid:durableId="1847553931">
    <w:abstractNumId w:val="40"/>
  </w:num>
  <w:num w:numId="6" w16cid:durableId="2085644105">
    <w:abstractNumId w:val="8"/>
  </w:num>
  <w:num w:numId="7" w16cid:durableId="32660401">
    <w:abstractNumId w:val="28"/>
  </w:num>
  <w:num w:numId="8" w16cid:durableId="1869952406">
    <w:abstractNumId w:val="7"/>
  </w:num>
  <w:num w:numId="9" w16cid:durableId="2066563647">
    <w:abstractNumId w:val="4"/>
  </w:num>
  <w:num w:numId="10" w16cid:durableId="2086953157">
    <w:abstractNumId w:val="23"/>
  </w:num>
  <w:num w:numId="11" w16cid:durableId="1476530760">
    <w:abstractNumId w:val="26"/>
  </w:num>
  <w:num w:numId="12" w16cid:durableId="894512911">
    <w:abstractNumId w:val="47"/>
  </w:num>
  <w:num w:numId="13" w16cid:durableId="1231230922">
    <w:abstractNumId w:val="12"/>
  </w:num>
  <w:num w:numId="14" w16cid:durableId="1980962946">
    <w:abstractNumId w:val="41"/>
  </w:num>
  <w:num w:numId="15" w16cid:durableId="1458261843">
    <w:abstractNumId w:val="34"/>
  </w:num>
  <w:num w:numId="16" w16cid:durableId="103353879">
    <w:abstractNumId w:val="39"/>
  </w:num>
  <w:num w:numId="17" w16cid:durableId="974414113">
    <w:abstractNumId w:val="22"/>
  </w:num>
  <w:num w:numId="18" w16cid:durableId="910693388">
    <w:abstractNumId w:val="38"/>
  </w:num>
  <w:num w:numId="19" w16cid:durableId="22562811">
    <w:abstractNumId w:val="16"/>
  </w:num>
  <w:num w:numId="20" w16cid:durableId="1785078001">
    <w:abstractNumId w:val="43"/>
  </w:num>
  <w:num w:numId="21" w16cid:durableId="1674382842">
    <w:abstractNumId w:val="29"/>
  </w:num>
  <w:num w:numId="22" w16cid:durableId="283536186">
    <w:abstractNumId w:val="0"/>
  </w:num>
  <w:num w:numId="23" w16cid:durableId="699203604">
    <w:abstractNumId w:val="25"/>
  </w:num>
  <w:num w:numId="24" w16cid:durableId="1261985700">
    <w:abstractNumId w:val="13"/>
  </w:num>
  <w:num w:numId="25" w16cid:durableId="178156418">
    <w:abstractNumId w:val="15"/>
  </w:num>
  <w:num w:numId="26" w16cid:durableId="1886216871">
    <w:abstractNumId w:val="32"/>
  </w:num>
  <w:num w:numId="27" w16cid:durableId="1627731741">
    <w:abstractNumId w:val="36"/>
  </w:num>
  <w:num w:numId="28" w16cid:durableId="1819611916">
    <w:abstractNumId w:val="11"/>
  </w:num>
  <w:num w:numId="29" w16cid:durableId="1910261740">
    <w:abstractNumId w:val="44"/>
  </w:num>
  <w:num w:numId="30" w16cid:durableId="1135677781">
    <w:abstractNumId w:val="6"/>
  </w:num>
  <w:num w:numId="31" w16cid:durableId="1604996133">
    <w:abstractNumId w:val="42"/>
  </w:num>
  <w:num w:numId="32" w16cid:durableId="1919905122">
    <w:abstractNumId w:val="5"/>
  </w:num>
  <w:num w:numId="33" w16cid:durableId="876771505">
    <w:abstractNumId w:val="30"/>
  </w:num>
  <w:num w:numId="34" w16cid:durableId="1794589955">
    <w:abstractNumId w:val="20"/>
  </w:num>
  <w:num w:numId="35" w16cid:durableId="356736906">
    <w:abstractNumId w:val="1"/>
  </w:num>
  <w:num w:numId="36" w16cid:durableId="1776316986">
    <w:abstractNumId w:val="46"/>
  </w:num>
  <w:num w:numId="37" w16cid:durableId="865213362">
    <w:abstractNumId w:val="19"/>
  </w:num>
  <w:num w:numId="38" w16cid:durableId="99491650">
    <w:abstractNumId w:val="24"/>
  </w:num>
  <w:num w:numId="39" w16cid:durableId="751388163">
    <w:abstractNumId w:val="9"/>
  </w:num>
  <w:num w:numId="40" w16cid:durableId="1097211498">
    <w:abstractNumId w:val="17"/>
  </w:num>
  <w:num w:numId="41" w16cid:durableId="119154647">
    <w:abstractNumId w:val="3"/>
  </w:num>
  <w:num w:numId="42" w16cid:durableId="1862010678">
    <w:abstractNumId w:val="33"/>
  </w:num>
  <w:num w:numId="43" w16cid:durableId="1911187079">
    <w:abstractNumId w:val="27"/>
  </w:num>
  <w:num w:numId="44" w16cid:durableId="334773663">
    <w:abstractNumId w:val="18"/>
  </w:num>
  <w:num w:numId="45" w16cid:durableId="1363550813">
    <w:abstractNumId w:val="14"/>
  </w:num>
  <w:num w:numId="46" w16cid:durableId="1196575037">
    <w:abstractNumId w:val="45"/>
  </w:num>
  <w:num w:numId="47" w16cid:durableId="1533346933">
    <w:abstractNumId w:val="31"/>
  </w:num>
  <w:num w:numId="48" w16cid:durableId="659572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55"/>
    <w:rsid w:val="00005272"/>
    <w:rsid w:val="00006798"/>
    <w:rsid w:val="00014347"/>
    <w:rsid w:val="000175B1"/>
    <w:rsid w:val="00021E3E"/>
    <w:rsid w:val="00021E6C"/>
    <w:rsid w:val="00024366"/>
    <w:rsid w:val="00025256"/>
    <w:rsid w:val="00025A97"/>
    <w:rsid w:val="00042877"/>
    <w:rsid w:val="000527CF"/>
    <w:rsid w:val="000558F0"/>
    <w:rsid w:val="00056271"/>
    <w:rsid w:val="000605B5"/>
    <w:rsid w:val="0007044C"/>
    <w:rsid w:val="00072B0A"/>
    <w:rsid w:val="00073A05"/>
    <w:rsid w:val="000748A7"/>
    <w:rsid w:val="00077350"/>
    <w:rsid w:val="000839A7"/>
    <w:rsid w:val="00091820"/>
    <w:rsid w:val="00093DE5"/>
    <w:rsid w:val="00097713"/>
    <w:rsid w:val="000B7637"/>
    <w:rsid w:val="000C0615"/>
    <w:rsid w:val="000C2C02"/>
    <w:rsid w:val="000C4656"/>
    <w:rsid w:val="000D0E9E"/>
    <w:rsid w:val="000E3864"/>
    <w:rsid w:val="000E4269"/>
    <w:rsid w:val="000E4DB4"/>
    <w:rsid w:val="000E5198"/>
    <w:rsid w:val="000E5FF1"/>
    <w:rsid w:val="000E6FB7"/>
    <w:rsid w:val="000F1323"/>
    <w:rsid w:val="0010060B"/>
    <w:rsid w:val="00101F4D"/>
    <w:rsid w:val="00116CA5"/>
    <w:rsid w:val="00123E21"/>
    <w:rsid w:val="00124E20"/>
    <w:rsid w:val="0013504F"/>
    <w:rsid w:val="00136162"/>
    <w:rsid w:val="00136FD8"/>
    <w:rsid w:val="00142757"/>
    <w:rsid w:val="00143B42"/>
    <w:rsid w:val="0014561D"/>
    <w:rsid w:val="00153573"/>
    <w:rsid w:val="00160492"/>
    <w:rsid w:val="00162FBC"/>
    <w:rsid w:val="00164839"/>
    <w:rsid w:val="001667D0"/>
    <w:rsid w:val="00166979"/>
    <w:rsid w:val="0018338D"/>
    <w:rsid w:val="001874E8"/>
    <w:rsid w:val="00187B35"/>
    <w:rsid w:val="00193D93"/>
    <w:rsid w:val="00193F5D"/>
    <w:rsid w:val="001B0815"/>
    <w:rsid w:val="001B5C39"/>
    <w:rsid w:val="001C0A84"/>
    <w:rsid w:val="001D407B"/>
    <w:rsid w:val="001E28B6"/>
    <w:rsid w:val="001E4627"/>
    <w:rsid w:val="001E60EE"/>
    <w:rsid w:val="001F191B"/>
    <w:rsid w:val="001F7B85"/>
    <w:rsid w:val="00201B88"/>
    <w:rsid w:val="0020274D"/>
    <w:rsid w:val="002051DE"/>
    <w:rsid w:val="00210D47"/>
    <w:rsid w:val="00214664"/>
    <w:rsid w:val="00214DD3"/>
    <w:rsid w:val="002179B1"/>
    <w:rsid w:val="00226CF5"/>
    <w:rsid w:val="0023392D"/>
    <w:rsid w:val="00233EDA"/>
    <w:rsid w:val="002347A0"/>
    <w:rsid w:val="00236015"/>
    <w:rsid w:val="00237864"/>
    <w:rsid w:val="00251CEC"/>
    <w:rsid w:val="00252667"/>
    <w:rsid w:val="002534C5"/>
    <w:rsid w:val="00253E77"/>
    <w:rsid w:val="00255DC1"/>
    <w:rsid w:val="00261E87"/>
    <w:rsid w:val="002627DA"/>
    <w:rsid w:val="00264DCC"/>
    <w:rsid w:val="00266A0D"/>
    <w:rsid w:val="00274471"/>
    <w:rsid w:val="00275792"/>
    <w:rsid w:val="0027614B"/>
    <w:rsid w:val="002833A6"/>
    <w:rsid w:val="002937B0"/>
    <w:rsid w:val="00294B58"/>
    <w:rsid w:val="002A196C"/>
    <w:rsid w:val="002A19B7"/>
    <w:rsid w:val="002A76F4"/>
    <w:rsid w:val="002B10FC"/>
    <w:rsid w:val="002B32DE"/>
    <w:rsid w:val="002C58C1"/>
    <w:rsid w:val="002C7DD6"/>
    <w:rsid w:val="002D72CF"/>
    <w:rsid w:val="002E3105"/>
    <w:rsid w:val="002E3861"/>
    <w:rsid w:val="002E6A3A"/>
    <w:rsid w:val="002E705A"/>
    <w:rsid w:val="002E7718"/>
    <w:rsid w:val="002E7C26"/>
    <w:rsid w:val="002F637F"/>
    <w:rsid w:val="002F6667"/>
    <w:rsid w:val="002F669B"/>
    <w:rsid w:val="002F68FA"/>
    <w:rsid w:val="00304F10"/>
    <w:rsid w:val="00305033"/>
    <w:rsid w:val="003074D5"/>
    <w:rsid w:val="003176E5"/>
    <w:rsid w:val="00317954"/>
    <w:rsid w:val="00320282"/>
    <w:rsid w:val="003255C0"/>
    <w:rsid w:val="003359E5"/>
    <w:rsid w:val="00336404"/>
    <w:rsid w:val="0034453A"/>
    <w:rsid w:val="00345D19"/>
    <w:rsid w:val="003600C0"/>
    <w:rsid w:val="00362A23"/>
    <w:rsid w:val="00364939"/>
    <w:rsid w:val="00373C14"/>
    <w:rsid w:val="003815FA"/>
    <w:rsid w:val="00384AF1"/>
    <w:rsid w:val="0039105D"/>
    <w:rsid w:val="003A692B"/>
    <w:rsid w:val="003B093B"/>
    <w:rsid w:val="003B4C83"/>
    <w:rsid w:val="003B646D"/>
    <w:rsid w:val="003C0514"/>
    <w:rsid w:val="003C1042"/>
    <w:rsid w:val="003C15E5"/>
    <w:rsid w:val="003C181C"/>
    <w:rsid w:val="003E1219"/>
    <w:rsid w:val="003E2044"/>
    <w:rsid w:val="003E20E8"/>
    <w:rsid w:val="003E477D"/>
    <w:rsid w:val="003E7838"/>
    <w:rsid w:val="003F417D"/>
    <w:rsid w:val="003F7A7E"/>
    <w:rsid w:val="0040730A"/>
    <w:rsid w:val="004125E3"/>
    <w:rsid w:val="0041521C"/>
    <w:rsid w:val="00423CB6"/>
    <w:rsid w:val="004264BA"/>
    <w:rsid w:val="00437CEF"/>
    <w:rsid w:val="00444F80"/>
    <w:rsid w:val="00451F4F"/>
    <w:rsid w:val="00466B5A"/>
    <w:rsid w:val="00483285"/>
    <w:rsid w:val="00484408"/>
    <w:rsid w:val="00495CB3"/>
    <w:rsid w:val="00496B92"/>
    <w:rsid w:val="004A3A43"/>
    <w:rsid w:val="004A4259"/>
    <w:rsid w:val="004A4DCF"/>
    <w:rsid w:val="004A7ADF"/>
    <w:rsid w:val="004B1981"/>
    <w:rsid w:val="004B3539"/>
    <w:rsid w:val="004B49E1"/>
    <w:rsid w:val="004B5B99"/>
    <w:rsid w:val="004B7208"/>
    <w:rsid w:val="004D35B3"/>
    <w:rsid w:val="004E3A60"/>
    <w:rsid w:val="005011D0"/>
    <w:rsid w:val="00501AEA"/>
    <w:rsid w:val="00503BF2"/>
    <w:rsid w:val="005047A9"/>
    <w:rsid w:val="00506353"/>
    <w:rsid w:val="005112F8"/>
    <w:rsid w:val="00521B9F"/>
    <w:rsid w:val="005221A7"/>
    <w:rsid w:val="00531540"/>
    <w:rsid w:val="00533F7C"/>
    <w:rsid w:val="005400C3"/>
    <w:rsid w:val="00542C62"/>
    <w:rsid w:val="00543D0A"/>
    <w:rsid w:val="00552DE6"/>
    <w:rsid w:val="00556BF5"/>
    <w:rsid w:val="0058277B"/>
    <w:rsid w:val="00583285"/>
    <w:rsid w:val="005848DE"/>
    <w:rsid w:val="0058531C"/>
    <w:rsid w:val="005956B4"/>
    <w:rsid w:val="00597B49"/>
    <w:rsid w:val="005A0818"/>
    <w:rsid w:val="005A2B2C"/>
    <w:rsid w:val="005A6E8B"/>
    <w:rsid w:val="005A7A88"/>
    <w:rsid w:val="005C3370"/>
    <w:rsid w:val="005C3D88"/>
    <w:rsid w:val="005C45E6"/>
    <w:rsid w:val="005C4770"/>
    <w:rsid w:val="005C4CBF"/>
    <w:rsid w:val="005C7CE1"/>
    <w:rsid w:val="005D12D8"/>
    <w:rsid w:val="005D1A80"/>
    <w:rsid w:val="005E0598"/>
    <w:rsid w:val="005E3E35"/>
    <w:rsid w:val="005E7196"/>
    <w:rsid w:val="005E7670"/>
    <w:rsid w:val="005F6854"/>
    <w:rsid w:val="0060349B"/>
    <w:rsid w:val="00604C5F"/>
    <w:rsid w:val="0060527C"/>
    <w:rsid w:val="006053BA"/>
    <w:rsid w:val="00612A15"/>
    <w:rsid w:val="006158D4"/>
    <w:rsid w:val="0062023E"/>
    <w:rsid w:val="00622777"/>
    <w:rsid w:val="00627AE7"/>
    <w:rsid w:val="00641BBA"/>
    <w:rsid w:val="00643332"/>
    <w:rsid w:val="00644FF8"/>
    <w:rsid w:val="00645B41"/>
    <w:rsid w:val="00653841"/>
    <w:rsid w:val="00654992"/>
    <w:rsid w:val="00663D50"/>
    <w:rsid w:val="00665973"/>
    <w:rsid w:val="00667BE7"/>
    <w:rsid w:val="0067129F"/>
    <w:rsid w:val="006744D4"/>
    <w:rsid w:val="00680536"/>
    <w:rsid w:val="00682B2B"/>
    <w:rsid w:val="0068307A"/>
    <w:rsid w:val="00684511"/>
    <w:rsid w:val="00685CAC"/>
    <w:rsid w:val="00691825"/>
    <w:rsid w:val="00693AA4"/>
    <w:rsid w:val="006A0617"/>
    <w:rsid w:val="006A1058"/>
    <w:rsid w:val="006A2EF5"/>
    <w:rsid w:val="006A3CA0"/>
    <w:rsid w:val="006B526B"/>
    <w:rsid w:val="006C142C"/>
    <w:rsid w:val="006C148A"/>
    <w:rsid w:val="006D66F6"/>
    <w:rsid w:val="006D6BEF"/>
    <w:rsid w:val="006D708B"/>
    <w:rsid w:val="006E0142"/>
    <w:rsid w:val="006E2644"/>
    <w:rsid w:val="006E4FD6"/>
    <w:rsid w:val="006E57EA"/>
    <w:rsid w:val="006E5D80"/>
    <w:rsid w:val="006E62E8"/>
    <w:rsid w:val="006F1867"/>
    <w:rsid w:val="006F6E34"/>
    <w:rsid w:val="00700551"/>
    <w:rsid w:val="00701130"/>
    <w:rsid w:val="007062C1"/>
    <w:rsid w:val="00716E01"/>
    <w:rsid w:val="00734DC6"/>
    <w:rsid w:val="007351E9"/>
    <w:rsid w:val="007458E4"/>
    <w:rsid w:val="00746379"/>
    <w:rsid w:val="007541CC"/>
    <w:rsid w:val="007627C4"/>
    <w:rsid w:val="00764791"/>
    <w:rsid w:val="00765E43"/>
    <w:rsid w:val="00770178"/>
    <w:rsid w:val="00771047"/>
    <w:rsid w:val="00771379"/>
    <w:rsid w:val="00772003"/>
    <w:rsid w:val="00790781"/>
    <w:rsid w:val="007925F8"/>
    <w:rsid w:val="007929CC"/>
    <w:rsid w:val="0079515B"/>
    <w:rsid w:val="007B0CE8"/>
    <w:rsid w:val="007C3FFF"/>
    <w:rsid w:val="007C6BD5"/>
    <w:rsid w:val="007D5278"/>
    <w:rsid w:val="007E2F45"/>
    <w:rsid w:val="007E2FCA"/>
    <w:rsid w:val="007E5654"/>
    <w:rsid w:val="007E7D48"/>
    <w:rsid w:val="007F0048"/>
    <w:rsid w:val="007F2532"/>
    <w:rsid w:val="007F6CBF"/>
    <w:rsid w:val="007F7102"/>
    <w:rsid w:val="00800B7F"/>
    <w:rsid w:val="00804619"/>
    <w:rsid w:val="008064C7"/>
    <w:rsid w:val="008105B6"/>
    <w:rsid w:val="00811BE9"/>
    <w:rsid w:val="00811D2D"/>
    <w:rsid w:val="0081369C"/>
    <w:rsid w:val="00820788"/>
    <w:rsid w:val="008330F4"/>
    <w:rsid w:val="00841E6F"/>
    <w:rsid w:val="00863DE8"/>
    <w:rsid w:val="00864BDC"/>
    <w:rsid w:val="00866759"/>
    <w:rsid w:val="00867689"/>
    <w:rsid w:val="0086778C"/>
    <w:rsid w:val="00874BFE"/>
    <w:rsid w:val="008757BA"/>
    <w:rsid w:val="00880BF9"/>
    <w:rsid w:val="00881844"/>
    <w:rsid w:val="00884E3B"/>
    <w:rsid w:val="0088651D"/>
    <w:rsid w:val="008920BC"/>
    <w:rsid w:val="008B00F7"/>
    <w:rsid w:val="008B04D5"/>
    <w:rsid w:val="008B04D7"/>
    <w:rsid w:val="008B252D"/>
    <w:rsid w:val="008B256C"/>
    <w:rsid w:val="008C5E32"/>
    <w:rsid w:val="008D035E"/>
    <w:rsid w:val="008D0610"/>
    <w:rsid w:val="008D1FB4"/>
    <w:rsid w:val="008D5116"/>
    <w:rsid w:val="008D64E3"/>
    <w:rsid w:val="008E0B3C"/>
    <w:rsid w:val="008F326F"/>
    <w:rsid w:val="008F3A85"/>
    <w:rsid w:val="008F6E5A"/>
    <w:rsid w:val="009035C4"/>
    <w:rsid w:val="00906ADA"/>
    <w:rsid w:val="00907E1C"/>
    <w:rsid w:val="00923056"/>
    <w:rsid w:val="00927462"/>
    <w:rsid w:val="00932459"/>
    <w:rsid w:val="00932ACA"/>
    <w:rsid w:val="00933342"/>
    <w:rsid w:val="0094099D"/>
    <w:rsid w:val="00962555"/>
    <w:rsid w:val="009630D6"/>
    <w:rsid w:val="009639B5"/>
    <w:rsid w:val="00965696"/>
    <w:rsid w:val="00965EFB"/>
    <w:rsid w:val="00966AFE"/>
    <w:rsid w:val="0096766F"/>
    <w:rsid w:val="00967E8A"/>
    <w:rsid w:val="009731A2"/>
    <w:rsid w:val="00973E69"/>
    <w:rsid w:val="00974A5C"/>
    <w:rsid w:val="00980CA3"/>
    <w:rsid w:val="00980D42"/>
    <w:rsid w:val="009863B5"/>
    <w:rsid w:val="009870FE"/>
    <w:rsid w:val="00987E21"/>
    <w:rsid w:val="00991744"/>
    <w:rsid w:val="009A40B7"/>
    <w:rsid w:val="009B0748"/>
    <w:rsid w:val="009B13C1"/>
    <w:rsid w:val="009B2DC3"/>
    <w:rsid w:val="009B4048"/>
    <w:rsid w:val="009B4081"/>
    <w:rsid w:val="009B4AA6"/>
    <w:rsid w:val="009C6DC2"/>
    <w:rsid w:val="009C7667"/>
    <w:rsid w:val="009D0B29"/>
    <w:rsid w:val="009D3944"/>
    <w:rsid w:val="009E3F9D"/>
    <w:rsid w:val="009E6BE8"/>
    <w:rsid w:val="009F16EE"/>
    <w:rsid w:val="009F307E"/>
    <w:rsid w:val="009F421D"/>
    <w:rsid w:val="009F5FAE"/>
    <w:rsid w:val="00A02BDF"/>
    <w:rsid w:val="00A02E27"/>
    <w:rsid w:val="00A032A2"/>
    <w:rsid w:val="00A03849"/>
    <w:rsid w:val="00A05369"/>
    <w:rsid w:val="00A12D96"/>
    <w:rsid w:val="00A17AD9"/>
    <w:rsid w:val="00A226EC"/>
    <w:rsid w:val="00A23C21"/>
    <w:rsid w:val="00A24F2B"/>
    <w:rsid w:val="00A26435"/>
    <w:rsid w:val="00A26B68"/>
    <w:rsid w:val="00A3335D"/>
    <w:rsid w:val="00A3500D"/>
    <w:rsid w:val="00A36A80"/>
    <w:rsid w:val="00A42A6E"/>
    <w:rsid w:val="00A42F6C"/>
    <w:rsid w:val="00A50713"/>
    <w:rsid w:val="00A50F23"/>
    <w:rsid w:val="00A615E9"/>
    <w:rsid w:val="00A61F1C"/>
    <w:rsid w:val="00A63A7E"/>
    <w:rsid w:val="00A642BF"/>
    <w:rsid w:val="00A644D6"/>
    <w:rsid w:val="00A654AB"/>
    <w:rsid w:val="00A71887"/>
    <w:rsid w:val="00A75CDD"/>
    <w:rsid w:val="00A81D5D"/>
    <w:rsid w:val="00A85813"/>
    <w:rsid w:val="00A85F70"/>
    <w:rsid w:val="00A87589"/>
    <w:rsid w:val="00A93C40"/>
    <w:rsid w:val="00A97D80"/>
    <w:rsid w:val="00AA242E"/>
    <w:rsid w:val="00AA497A"/>
    <w:rsid w:val="00AA532D"/>
    <w:rsid w:val="00AA674D"/>
    <w:rsid w:val="00AB0B6B"/>
    <w:rsid w:val="00AB41DA"/>
    <w:rsid w:val="00AB6A25"/>
    <w:rsid w:val="00AB714E"/>
    <w:rsid w:val="00AB7A53"/>
    <w:rsid w:val="00AC053D"/>
    <w:rsid w:val="00AC0F83"/>
    <w:rsid w:val="00AC27B0"/>
    <w:rsid w:val="00AC72C9"/>
    <w:rsid w:val="00AC7DDE"/>
    <w:rsid w:val="00AE0610"/>
    <w:rsid w:val="00AE5744"/>
    <w:rsid w:val="00AF1F0D"/>
    <w:rsid w:val="00AF306A"/>
    <w:rsid w:val="00AF7540"/>
    <w:rsid w:val="00B02C5C"/>
    <w:rsid w:val="00B034E2"/>
    <w:rsid w:val="00B04E86"/>
    <w:rsid w:val="00B10E23"/>
    <w:rsid w:val="00B1725C"/>
    <w:rsid w:val="00B2021E"/>
    <w:rsid w:val="00B20973"/>
    <w:rsid w:val="00B210CB"/>
    <w:rsid w:val="00B256EE"/>
    <w:rsid w:val="00B25E01"/>
    <w:rsid w:val="00B26787"/>
    <w:rsid w:val="00B2698C"/>
    <w:rsid w:val="00B31265"/>
    <w:rsid w:val="00B3611B"/>
    <w:rsid w:val="00B36D9C"/>
    <w:rsid w:val="00B376F9"/>
    <w:rsid w:val="00B41A73"/>
    <w:rsid w:val="00B41C7C"/>
    <w:rsid w:val="00B452F1"/>
    <w:rsid w:val="00B528F3"/>
    <w:rsid w:val="00B64C64"/>
    <w:rsid w:val="00B72CC9"/>
    <w:rsid w:val="00B745FA"/>
    <w:rsid w:val="00B80694"/>
    <w:rsid w:val="00B81E5C"/>
    <w:rsid w:val="00B8244B"/>
    <w:rsid w:val="00B917CC"/>
    <w:rsid w:val="00B93A98"/>
    <w:rsid w:val="00BA5A1B"/>
    <w:rsid w:val="00BB1E42"/>
    <w:rsid w:val="00BC2AF0"/>
    <w:rsid w:val="00BC54F8"/>
    <w:rsid w:val="00BC6967"/>
    <w:rsid w:val="00BD34F9"/>
    <w:rsid w:val="00BD67DF"/>
    <w:rsid w:val="00BD686F"/>
    <w:rsid w:val="00BD71F3"/>
    <w:rsid w:val="00BE2452"/>
    <w:rsid w:val="00BE290E"/>
    <w:rsid w:val="00BE2D24"/>
    <w:rsid w:val="00BE43F2"/>
    <w:rsid w:val="00BE4818"/>
    <w:rsid w:val="00BE6E02"/>
    <w:rsid w:val="00BF0703"/>
    <w:rsid w:val="00BF0C4E"/>
    <w:rsid w:val="00BF4E36"/>
    <w:rsid w:val="00C028CE"/>
    <w:rsid w:val="00C05D88"/>
    <w:rsid w:val="00C16984"/>
    <w:rsid w:val="00C24533"/>
    <w:rsid w:val="00C2595D"/>
    <w:rsid w:val="00C434B5"/>
    <w:rsid w:val="00C44FC2"/>
    <w:rsid w:val="00C615AB"/>
    <w:rsid w:val="00C65C5C"/>
    <w:rsid w:val="00C75795"/>
    <w:rsid w:val="00C770A4"/>
    <w:rsid w:val="00C90140"/>
    <w:rsid w:val="00C91F7C"/>
    <w:rsid w:val="00C95981"/>
    <w:rsid w:val="00C97942"/>
    <w:rsid w:val="00CA19E9"/>
    <w:rsid w:val="00CA1AE9"/>
    <w:rsid w:val="00CB4A8A"/>
    <w:rsid w:val="00CB6526"/>
    <w:rsid w:val="00CB7AC1"/>
    <w:rsid w:val="00CC2207"/>
    <w:rsid w:val="00CC3138"/>
    <w:rsid w:val="00CD0F1B"/>
    <w:rsid w:val="00CE32B7"/>
    <w:rsid w:val="00CE3B36"/>
    <w:rsid w:val="00CE4D12"/>
    <w:rsid w:val="00CE7FF7"/>
    <w:rsid w:val="00CF3A86"/>
    <w:rsid w:val="00D023AA"/>
    <w:rsid w:val="00D04F65"/>
    <w:rsid w:val="00D0524E"/>
    <w:rsid w:val="00D0696B"/>
    <w:rsid w:val="00D06FC9"/>
    <w:rsid w:val="00D176EB"/>
    <w:rsid w:val="00D212D0"/>
    <w:rsid w:val="00D3105C"/>
    <w:rsid w:val="00D330EC"/>
    <w:rsid w:val="00D346BF"/>
    <w:rsid w:val="00D40A65"/>
    <w:rsid w:val="00D67EB8"/>
    <w:rsid w:val="00D75CCD"/>
    <w:rsid w:val="00D77AAE"/>
    <w:rsid w:val="00D81230"/>
    <w:rsid w:val="00D9428A"/>
    <w:rsid w:val="00DA072F"/>
    <w:rsid w:val="00DA392A"/>
    <w:rsid w:val="00DA4323"/>
    <w:rsid w:val="00DB5700"/>
    <w:rsid w:val="00DB5742"/>
    <w:rsid w:val="00DB5A3A"/>
    <w:rsid w:val="00DB65D4"/>
    <w:rsid w:val="00DC1659"/>
    <w:rsid w:val="00DC2066"/>
    <w:rsid w:val="00DC27C0"/>
    <w:rsid w:val="00DD5501"/>
    <w:rsid w:val="00DD5A57"/>
    <w:rsid w:val="00DD602D"/>
    <w:rsid w:val="00DE220A"/>
    <w:rsid w:val="00DE45F5"/>
    <w:rsid w:val="00DE5B17"/>
    <w:rsid w:val="00DE6BBB"/>
    <w:rsid w:val="00DF0CDC"/>
    <w:rsid w:val="00DF2FC7"/>
    <w:rsid w:val="00DF6807"/>
    <w:rsid w:val="00E147B4"/>
    <w:rsid w:val="00E147D8"/>
    <w:rsid w:val="00E24419"/>
    <w:rsid w:val="00E334C2"/>
    <w:rsid w:val="00E3633E"/>
    <w:rsid w:val="00E4044C"/>
    <w:rsid w:val="00E41805"/>
    <w:rsid w:val="00E477AE"/>
    <w:rsid w:val="00E6402F"/>
    <w:rsid w:val="00E65C81"/>
    <w:rsid w:val="00E70417"/>
    <w:rsid w:val="00E737E1"/>
    <w:rsid w:val="00E755C3"/>
    <w:rsid w:val="00E81745"/>
    <w:rsid w:val="00E81EFE"/>
    <w:rsid w:val="00E82FD5"/>
    <w:rsid w:val="00E86C70"/>
    <w:rsid w:val="00E90436"/>
    <w:rsid w:val="00E94474"/>
    <w:rsid w:val="00EA37A3"/>
    <w:rsid w:val="00EA5FDD"/>
    <w:rsid w:val="00EA7A53"/>
    <w:rsid w:val="00EB1D48"/>
    <w:rsid w:val="00EB21A4"/>
    <w:rsid w:val="00EB40B7"/>
    <w:rsid w:val="00EB59AF"/>
    <w:rsid w:val="00EB5CBF"/>
    <w:rsid w:val="00EB6A3D"/>
    <w:rsid w:val="00EC0147"/>
    <w:rsid w:val="00EC211A"/>
    <w:rsid w:val="00EC26F4"/>
    <w:rsid w:val="00EC48CD"/>
    <w:rsid w:val="00EC668F"/>
    <w:rsid w:val="00ED0735"/>
    <w:rsid w:val="00ED2308"/>
    <w:rsid w:val="00ED249E"/>
    <w:rsid w:val="00ED6D4C"/>
    <w:rsid w:val="00EE4FF7"/>
    <w:rsid w:val="00EE6075"/>
    <w:rsid w:val="00EE7F40"/>
    <w:rsid w:val="00EF3E0B"/>
    <w:rsid w:val="00EF74C3"/>
    <w:rsid w:val="00F03622"/>
    <w:rsid w:val="00F052C8"/>
    <w:rsid w:val="00F0736C"/>
    <w:rsid w:val="00F114DD"/>
    <w:rsid w:val="00F136EA"/>
    <w:rsid w:val="00F368B2"/>
    <w:rsid w:val="00F42E76"/>
    <w:rsid w:val="00F52546"/>
    <w:rsid w:val="00F56506"/>
    <w:rsid w:val="00F702A7"/>
    <w:rsid w:val="00F74BE3"/>
    <w:rsid w:val="00F80AA0"/>
    <w:rsid w:val="00F83971"/>
    <w:rsid w:val="00F84365"/>
    <w:rsid w:val="00F87022"/>
    <w:rsid w:val="00F93A27"/>
    <w:rsid w:val="00F96712"/>
    <w:rsid w:val="00FA51FC"/>
    <w:rsid w:val="00FB465C"/>
    <w:rsid w:val="00FC6D4E"/>
    <w:rsid w:val="00FD0B84"/>
    <w:rsid w:val="00FD116A"/>
    <w:rsid w:val="00FD417E"/>
    <w:rsid w:val="00FD4ACD"/>
    <w:rsid w:val="00FD69DE"/>
    <w:rsid w:val="00FE04AB"/>
    <w:rsid w:val="00FE409D"/>
    <w:rsid w:val="00FF01E2"/>
    <w:rsid w:val="00FF5452"/>
    <w:rsid w:val="00FF6B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7AEE"/>
  <w15:chartTrackingRefBased/>
  <w15:docId w15:val="{26D41B3B-603D-4923-A977-C86C310C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81E5C"/>
  </w:style>
  <w:style w:type="paragraph" w:styleId="Titolo1">
    <w:name w:val="heading 1"/>
    <w:basedOn w:val="Normale"/>
    <w:next w:val="Normale"/>
    <w:link w:val="Titolo1Carattere"/>
    <w:uiPriority w:val="9"/>
    <w:qFormat/>
    <w:rsid w:val="0096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6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625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9625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625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625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25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25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25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25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625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625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9625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625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625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25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25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25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25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25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25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25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2555"/>
    <w:rPr>
      <w:i/>
      <w:iCs/>
      <w:color w:val="404040" w:themeColor="text1" w:themeTint="BF"/>
    </w:rPr>
  </w:style>
  <w:style w:type="paragraph" w:styleId="Paragrafoelenco">
    <w:name w:val="List Paragraph"/>
    <w:basedOn w:val="Normale"/>
    <w:uiPriority w:val="34"/>
    <w:qFormat/>
    <w:rsid w:val="00962555"/>
    <w:pPr>
      <w:ind w:left="720"/>
      <w:contextualSpacing/>
    </w:pPr>
  </w:style>
  <w:style w:type="character" w:styleId="Enfasiintensa">
    <w:name w:val="Intense Emphasis"/>
    <w:basedOn w:val="Carpredefinitoparagrafo"/>
    <w:uiPriority w:val="21"/>
    <w:qFormat/>
    <w:rsid w:val="00962555"/>
    <w:rPr>
      <w:i/>
      <w:iCs/>
      <w:color w:val="0F4761" w:themeColor="accent1" w:themeShade="BF"/>
    </w:rPr>
  </w:style>
  <w:style w:type="paragraph" w:styleId="Citazioneintensa">
    <w:name w:val="Intense Quote"/>
    <w:basedOn w:val="Normale"/>
    <w:next w:val="Normale"/>
    <w:link w:val="CitazioneintensaCarattere"/>
    <w:uiPriority w:val="30"/>
    <w:qFormat/>
    <w:rsid w:val="0096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62555"/>
    <w:rPr>
      <w:i/>
      <w:iCs/>
      <w:color w:val="0F4761" w:themeColor="accent1" w:themeShade="BF"/>
    </w:rPr>
  </w:style>
  <w:style w:type="character" w:styleId="Riferimentointenso">
    <w:name w:val="Intense Reference"/>
    <w:basedOn w:val="Carpredefinitoparagrafo"/>
    <w:uiPriority w:val="32"/>
    <w:qFormat/>
    <w:rsid w:val="00962555"/>
    <w:rPr>
      <w:b/>
      <w:bCs/>
      <w:smallCaps/>
      <w:color w:val="0F4761" w:themeColor="accent1" w:themeShade="BF"/>
      <w:spacing w:val="5"/>
    </w:rPr>
  </w:style>
  <w:style w:type="paragraph" w:styleId="Didascalia">
    <w:name w:val="caption"/>
    <w:basedOn w:val="Normale"/>
    <w:next w:val="Normale"/>
    <w:uiPriority w:val="35"/>
    <w:unhideWhenUsed/>
    <w:qFormat/>
    <w:rsid w:val="005D1A80"/>
    <w:pPr>
      <w:spacing w:after="200" w:line="240" w:lineRule="auto"/>
    </w:pPr>
    <w:rPr>
      <w:i/>
      <w:iCs/>
      <w:color w:val="0E2841" w:themeColor="text2"/>
      <w:sz w:val="18"/>
      <w:szCs w:val="18"/>
    </w:rPr>
  </w:style>
  <w:style w:type="paragraph" w:styleId="NormaleWeb">
    <w:name w:val="Normal (Web)"/>
    <w:basedOn w:val="Normale"/>
    <w:uiPriority w:val="99"/>
    <w:semiHidden/>
    <w:unhideWhenUsed/>
    <w:rsid w:val="00BC2AF0"/>
    <w:rPr>
      <w:rFonts w:ascii="Times New Roman" w:hAnsi="Times New Roman" w:cs="Times New Roman"/>
    </w:rPr>
  </w:style>
  <w:style w:type="character" w:styleId="Collegamentoipertestuale">
    <w:name w:val="Hyperlink"/>
    <w:basedOn w:val="Carpredefinitoparagrafo"/>
    <w:uiPriority w:val="99"/>
    <w:unhideWhenUsed/>
    <w:rsid w:val="00E94474"/>
    <w:rPr>
      <w:color w:val="467886" w:themeColor="hyperlink"/>
      <w:u w:val="single"/>
    </w:rPr>
  </w:style>
  <w:style w:type="character" w:styleId="Menzionenonrisolta">
    <w:name w:val="Unresolved Mention"/>
    <w:basedOn w:val="Carpredefinitoparagrafo"/>
    <w:uiPriority w:val="99"/>
    <w:semiHidden/>
    <w:unhideWhenUsed/>
    <w:rsid w:val="00E94474"/>
    <w:rPr>
      <w:color w:val="605E5C"/>
      <w:shd w:val="clear" w:color="auto" w:fill="E1DFDD"/>
    </w:rPr>
  </w:style>
  <w:style w:type="table" w:styleId="Tabellasemplice-3">
    <w:name w:val="Plain Table 3"/>
    <w:basedOn w:val="Tabellanormale"/>
    <w:uiPriority w:val="43"/>
    <w:rsid w:val="00B9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5">
    <w:name w:val="Plain Table 5"/>
    <w:basedOn w:val="Tabellanormale"/>
    <w:uiPriority w:val="45"/>
    <w:rsid w:val="00B93A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gliatabella">
    <w:name w:val="Table Grid"/>
    <w:basedOn w:val="Tabellanormale"/>
    <w:uiPriority w:val="39"/>
    <w:rsid w:val="00101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2">
    <w:name w:val="Plain Table 2"/>
    <w:basedOn w:val="Tabellanormale"/>
    <w:uiPriority w:val="42"/>
    <w:rsid w:val="00101F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724">
      <w:bodyDiv w:val="1"/>
      <w:marLeft w:val="0"/>
      <w:marRight w:val="0"/>
      <w:marTop w:val="0"/>
      <w:marBottom w:val="0"/>
      <w:divBdr>
        <w:top w:val="none" w:sz="0" w:space="0" w:color="auto"/>
        <w:left w:val="none" w:sz="0" w:space="0" w:color="auto"/>
        <w:bottom w:val="none" w:sz="0" w:space="0" w:color="auto"/>
        <w:right w:val="none" w:sz="0" w:space="0" w:color="auto"/>
      </w:divBdr>
      <w:divsChild>
        <w:div w:id="1952207017">
          <w:marLeft w:val="0"/>
          <w:marRight w:val="0"/>
          <w:marTop w:val="0"/>
          <w:marBottom w:val="0"/>
          <w:divBdr>
            <w:top w:val="none" w:sz="0" w:space="0" w:color="auto"/>
            <w:left w:val="none" w:sz="0" w:space="0" w:color="auto"/>
            <w:bottom w:val="none" w:sz="0" w:space="0" w:color="auto"/>
            <w:right w:val="none" w:sz="0" w:space="0" w:color="auto"/>
          </w:divBdr>
          <w:divsChild>
            <w:div w:id="1188786157">
              <w:marLeft w:val="0"/>
              <w:marRight w:val="0"/>
              <w:marTop w:val="0"/>
              <w:marBottom w:val="0"/>
              <w:divBdr>
                <w:top w:val="none" w:sz="0" w:space="0" w:color="auto"/>
                <w:left w:val="none" w:sz="0" w:space="0" w:color="auto"/>
                <w:bottom w:val="none" w:sz="0" w:space="0" w:color="auto"/>
                <w:right w:val="none" w:sz="0" w:space="0" w:color="auto"/>
              </w:divBdr>
              <w:divsChild>
                <w:div w:id="1934825622">
                  <w:marLeft w:val="0"/>
                  <w:marRight w:val="0"/>
                  <w:marTop w:val="0"/>
                  <w:marBottom w:val="0"/>
                  <w:divBdr>
                    <w:top w:val="none" w:sz="0" w:space="0" w:color="auto"/>
                    <w:left w:val="none" w:sz="0" w:space="0" w:color="auto"/>
                    <w:bottom w:val="none" w:sz="0" w:space="0" w:color="auto"/>
                    <w:right w:val="none" w:sz="0" w:space="0" w:color="auto"/>
                  </w:divBdr>
                  <w:divsChild>
                    <w:div w:id="1905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8991">
      <w:bodyDiv w:val="1"/>
      <w:marLeft w:val="0"/>
      <w:marRight w:val="0"/>
      <w:marTop w:val="0"/>
      <w:marBottom w:val="0"/>
      <w:divBdr>
        <w:top w:val="none" w:sz="0" w:space="0" w:color="auto"/>
        <w:left w:val="none" w:sz="0" w:space="0" w:color="auto"/>
        <w:bottom w:val="none" w:sz="0" w:space="0" w:color="auto"/>
        <w:right w:val="none" w:sz="0" w:space="0" w:color="auto"/>
      </w:divBdr>
    </w:div>
    <w:div w:id="152962874">
      <w:bodyDiv w:val="1"/>
      <w:marLeft w:val="0"/>
      <w:marRight w:val="0"/>
      <w:marTop w:val="0"/>
      <w:marBottom w:val="0"/>
      <w:divBdr>
        <w:top w:val="none" w:sz="0" w:space="0" w:color="auto"/>
        <w:left w:val="none" w:sz="0" w:space="0" w:color="auto"/>
        <w:bottom w:val="none" w:sz="0" w:space="0" w:color="auto"/>
        <w:right w:val="none" w:sz="0" w:space="0" w:color="auto"/>
      </w:divBdr>
    </w:div>
    <w:div w:id="178158335">
      <w:bodyDiv w:val="1"/>
      <w:marLeft w:val="0"/>
      <w:marRight w:val="0"/>
      <w:marTop w:val="0"/>
      <w:marBottom w:val="0"/>
      <w:divBdr>
        <w:top w:val="none" w:sz="0" w:space="0" w:color="auto"/>
        <w:left w:val="none" w:sz="0" w:space="0" w:color="auto"/>
        <w:bottom w:val="none" w:sz="0" w:space="0" w:color="auto"/>
        <w:right w:val="none" w:sz="0" w:space="0" w:color="auto"/>
      </w:divBdr>
    </w:div>
    <w:div w:id="228075468">
      <w:bodyDiv w:val="1"/>
      <w:marLeft w:val="0"/>
      <w:marRight w:val="0"/>
      <w:marTop w:val="0"/>
      <w:marBottom w:val="0"/>
      <w:divBdr>
        <w:top w:val="none" w:sz="0" w:space="0" w:color="auto"/>
        <w:left w:val="none" w:sz="0" w:space="0" w:color="auto"/>
        <w:bottom w:val="none" w:sz="0" w:space="0" w:color="auto"/>
        <w:right w:val="none" w:sz="0" w:space="0" w:color="auto"/>
      </w:divBdr>
    </w:div>
    <w:div w:id="287397523">
      <w:bodyDiv w:val="1"/>
      <w:marLeft w:val="0"/>
      <w:marRight w:val="0"/>
      <w:marTop w:val="0"/>
      <w:marBottom w:val="0"/>
      <w:divBdr>
        <w:top w:val="none" w:sz="0" w:space="0" w:color="auto"/>
        <w:left w:val="none" w:sz="0" w:space="0" w:color="auto"/>
        <w:bottom w:val="none" w:sz="0" w:space="0" w:color="auto"/>
        <w:right w:val="none" w:sz="0" w:space="0" w:color="auto"/>
      </w:divBdr>
    </w:div>
    <w:div w:id="321005073">
      <w:bodyDiv w:val="1"/>
      <w:marLeft w:val="0"/>
      <w:marRight w:val="0"/>
      <w:marTop w:val="0"/>
      <w:marBottom w:val="0"/>
      <w:divBdr>
        <w:top w:val="none" w:sz="0" w:space="0" w:color="auto"/>
        <w:left w:val="none" w:sz="0" w:space="0" w:color="auto"/>
        <w:bottom w:val="none" w:sz="0" w:space="0" w:color="auto"/>
        <w:right w:val="none" w:sz="0" w:space="0" w:color="auto"/>
      </w:divBdr>
    </w:div>
    <w:div w:id="359546930">
      <w:bodyDiv w:val="1"/>
      <w:marLeft w:val="0"/>
      <w:marRight w:val="0"/>
      <w:marTop w:val="0"/>
      <w:marBottom w:val="0"/>
      <w:divBdr>
        <w:top w:val="none" w:sz="0" w:space="0" w:color="auto"/>
        <w:left w:val="none" w:sz="0" w:space="0" w:color="auto"/>
        <w:bottom w:val="none" w:sz="0" w:space="0" w:color="auto"/>
        <w:right w:val="none" w:sz="0" w:space="0" w:color="auto"/>
      </w:divBdr>
    </w:div>
    <w:div w:id="366567610">
      <w:bodyDiv w:val="1"/>
      <w:marLeft w:val="0"/>
      <w:marRight w:val="0"/>
      <w:marTop w:val="0"/>
      <w:marBottom w:val="0"/>
      <w:divBdr>
        <w:top w:val="none" w:sz="0" w:space="0" w:color="auto"/>
        <w:left w:val="none" w:sz="0" w:space="0" w:color="auto"/>
        <w:bottom w:val="none" w:sz="0" w:space="0" w:color="auto"/>
        <w:right w:val="none" w:sz="0" w:space="0" w:color="auto"/>
      </w:divBdr>
    </w:div>
    <w:div w:id="367415241">
      <w:bodyDiv w:val="1"/>
      <w:marLeft w:val="0"/>
      <w:marRight w:val="0"/>
      <w:marTop w:val="0"/>
      <w:marBottom w:val="0"/>
      <w:divBdr>
        <w:top w:val="none" w:sz="0" w:space="0" w:color="auto"/>
        <w:left w:val="none" w:sz="0" w:space="0" w:color="auto"/>
        <w:bottom w:val="none" w:sz="0" w:space="0" w:color="auto"/>
        <w:right w:val="none" w:sz="0" w:space="0" w:color="auto"/>
      </w:divBdr>
    </w:div>
    <w:div w:id="427115237">
      <w:bodyDiv w:val="1"/>
      <w:marLeft w:val="0"/>
      <w:marRight w:val="0"/>
      <w:marTop w:val="0"/>
      <w:marBottom w:val="0"/>
      <w:divBdr>
        <w:top w:val="none" w:sz="0" w:space="0" w:color="auto"/>
        <w:left w:val="none" w:sz="0" w:space="0" w:color="auto"/>
        <w:bottom w:val="none" w:sz="0" w:space="0" w:color="auto"/>
        <w:right w:val="none" w:sz="0" w:space="0" w:color="auto"/>
      </w:divBdr>
    </w:div>
    <w:div w:id="444160631">
      <w:bodyDiv w:val="1"/>
      <w:marLeft w:val="0"/>
      <w:marRight w:val="0"/>
      <w:marTop w:val="0"/>
      <w:marBottom w:val="0"/>
      <w:divBdr>
        <w:top w:val="none" w:sz="0" w:space="0" w:color="auto"/>
        <w:left w:val="none" w:sz="0" w:space="0" w:color="auto"/>
        <w:bottom w:val="none" w:sz="0" w:space="0" w:color="auto"/>
        <w:right w:val="none" w:sz="0" w:space="0" w:color="auto"/>
      </w:divBdr>
    </w:div>
    <w:div w:id="517156476">
      <w:bodyDiv w:val="1"/>
      <w:marLeft w:val="0"/>
      <w:marRight w:val="0"/>
      <w:marTop w:val="0"/>
      <w:marBottom w:val="0"/>
      <w:divBdr>
        <w:top w:val="none" w:sz="0" w:space="0" w:color="auto"/>
        <w:left w:val="none" w:sz="0" w:space="0" w:color="auto"/>
        <w:bottom w:val="none" w:sz="0" w:space="0" w:color="auto"/>
        <w:right w:val="none" w:sz="0" w:space="0" w:color="auto"/>
      </w:divBdr>
    </w:div>
    <w:div w:id="551236154">
      <w:bodyDiv w:val="1"/>
      <w:marLeft w:val="0"/>
      <w:marRight w:val="0"/>
      <w:marTop w:val="0"/>
      <w:marBottom w:val="0"/>
      <w:divBdr>
        <w:top w:val="none" w:sz="0" w:space="0" w:color="auto"/>
        <w:left w:val="none" w:sz="0" w:space="0" w:color="auto"/>
        <w:bottom w:val="none" w:sz="0" w:space="0" w:color="auto"/>
        <w:right w:val="none" w:sz="0" w:space="0" w:color="auto"/>
      </w:divBdr>
    </w:div>
    <w:div w:id="562839873">
      <w:bodyDiv w:val="1"/>
      <w:marLeft w:val="0"/>
      <w:marRight w:val="0"/>
      <w:marTop w:val="0"/>
      <w:marBottom w:val="0"/>
      <w:divBdr>
        <w:top w:val="none" w:sz="0" w:space="0" w:color="auto"/>
        <w:left w:val="none" w:sz="0" w:space="0" w:color="auto"/>
        <w:bottom w:val="none" w:sz="0" w:space="0" w:color="auto"/>
        <w:right w:val="none" w:sz="0" w:space="0" w:color="auto"/>
      </w:divBdr>
      <w:divsChild>
        <w:div w:id="1741707001">
          <w:marLeft w:val="0"/>
          <w:marRight w:val="0"/>
          <w:marTop w:val="0"/>
          <w:marBottom w:val="0"/>
          <w:divBdr>
            <w:top w:val="none" w:sz="0" w:space="0" w:color="auto"/>
            <w:left w:val="none" w:sz="0" w:space="0" w:color="auto"/>
            <w:bottom w:val="none" w:sz="0" w:space="0" w:color="auto"/>
            <w:right w:val="none" w:sz="0" w:space="0" w:color="auto"/>
          </w:divBdr>
          <w:divsChild>
            <w:div w:id="1014264888">
              <w:marLeft w:val="0"/>
              <w:marRight w:val="0"/>
              <w:marTop w:val="0"/>
              <w:marBottom w:val="0"/>
              <w:divBdr>
                <w:top w:val="none" w:sz="0" w:space="0" w:color="auto"/>
                <w:left w:val="none" w:sz="0" w:space="0" w:color="auto"/>
                <w:bottom w:val="none" w:sz="0" w:space="0" w:color="auto"/>
                <w:right w:val="none" w:sz="0" w:space="0" w:color="auto"/>
              </w:divBdr>
              <w:divsChild>
                <w:div w:id="1588925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555236">
              <w:marLeft w:val="0"/>
              <w:marRight w:val="0"/>
              <w:marTop w:val="0"/>
              <w:marBottom w:val="0"/>
              <w:divBdr>
                <w:top w:val="none" w:sz="0" w:space="0" w:color="auto"/>
                <w:left w:val="none" w:sz="0" w:space="0" w:color="auto"/>
                <w:bottom w:val="none" w:sz="0" w:space="0" w:color="auto"/>
                <w:right w:val="none" w:sz="0" w:space="0" w:color="auto"/>
              </w:divBdr>
              <w:divsChild>
                <w:div w:id="560219193">
                  <w:marLeft w:val="0"/>
                  <w:marRight w:val="0"/>
                  <w:marTop w:val="0"/>
                  <w:marBottom w:val="0"/>
                  <w:divBdr>
                    <w:top w:val="none" w:sz="0" w:space="0" w:color="auto"/>
                    <w:left w:val="none" w:sz="0" w:space="0" w:color="auto"/>
                    <w:bottom w:val="none" w:sz="0" w:space="0" w:color="auto"/>
                    <w:right w:val="none" w:sz="0" w:space="0" w:color="auto"/>
                  </w:divBdr>
                  <w:divsChild>
                    <w:div w:id="19207435">
                      <w:marLeft w:val="0"/>
                      <w:marRight w:val="0"/>
                      <w:marTop w:val="0"/>
                      <w:marBottom w:val="0"/>
                      <w:divBdr>
                        <w:top w:val="none" w:sz="0" w:space="0" w:color="auto"/>
                        <w:left w:val="none" w:sz="0" w:space="0" w:color="auto"/>
                        <w:bottom w:val="none" w:sz="0" w:space="0" w:color="auto"/>
                        <w:right w:val="none" w:sz="0" w:space="0" w:color="auto"/>
                      </w:divBdr>
                      <w:divsChild>
                        <w:div w:id="615602793">
                          <w:marLeft w:val="0"/>
                          <w:marRight w:val="0"/>
                          <w:marTop w:val="0"/>
                          <w:marBottom w:val="0"/>
                          <w:divBdr>
                            <w:top w:val="none" w:sz="0" w:space="0" w:color="auto"/>
                            <w:left w:val="none" w:sz="0" w:space="0" w:color="auto"/>
                            <w:bottom w:val="none" w:sz="0" w:space="0" w:color="auto"/>
                            <w:right w:val="none" w:sz="0" w:space="0" w:color="auto"/>
                          </w:divBdr>
                        </w:div>
                      </w:divsChild>
                    </w:div>
                    <w:div w:id="63993595">
                      <w:marLeft w:val="0"/>
                      <w:marRight w:val="0"/>
                      <w:marTop w:val="0"/>
                      <w:marBottom w:val="0"/>
                      <w:divBdr>
                        <w:top w:val="none" w:sz="0" w:space="0" w:color="auto"/>
                        <w:left w:val="none" w:sz="0" w:space="0" w:color="auto"/>
                        <w:bottom w:val="none" w:sz="0" w:space="0" w:color="auto"/>
                        <w:right w:val="none" w:sz="0" w:space="0" w:color="auto"/>
                      </w:divBdr>
                      <w:divsChild>
                        <w:div w:id="14676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850560">
      <w:bodyDiv w:val="1"/>
      <w:marLeft w:val="0"/>
      <w:marRight w:val="0"/>
      <w:marTop w:val="0"/>
      <w:marBottom w:val="0"/>
      <w:divBdr>
        <w:top w:val="none" w:sz="0" w:space="0" w:color="auto"/>
        <w:left w:val="none" w:sz="0" w:space="0" w:color="auto"/>
        <w:bottom w:val="none" w:sz="0" w:space="0" w:color="auto"/>
        <w:right w:val="none" w:sz="0" w:space="0" w:color="auto"/>
      </w:divBdr>
    </w:div>
    <w:div w:id="613168599">
      <w:bodyDiv w:val="1"/>
      <w:marLeft w:val="0"/>
      <w:marRight w:val="0"/>
      <w:marTop w:val="0"/>
      <w:marBottom w:val="0"/>
      <w:divBdr>
        <w:top w:val="none" w:sz="0" w:space="0" w:color="auto"/>
        <w:left w:val="none" w:sz="0" w:space="0" w:color="auto"/>
        <w:bottom w:val="none" w:sz="0" w:space="0" w:color="auto"/>
        <w:right w:val="none" w:sz="0" w:space="0" w:color="auto"/>
      </w:divBdr>
    </w:div>
    <w:div w:id="695617783">
      <w:bodyDiv w:val="1"/>
      <w:marLeft w:val="0"/>
      <w:marRight w:val="0"/>
      <w:marTop w:val="0"/>
      <w:marBottom w:val="0"/>
      <w:divBdr>
        <w:top w:val="none" w:sz="0" w:space="0" w:color="auto"/>
        <w:left w:val="none" w:sz="0" w:space="0" w:color="auto"/>
        <w:bottom w:val="none" w:sz="0" w:space="0" w:color="auto"/>
        <w:right w:val="none" w:sz="0" w:space="0" w:color="auto"/>
      </w:divBdr>
    </w:div>
    <w:div w:id="779954521">
      <w:bodyDiv w:val="1"/>
      <w:marLeft w:val="0"/>
      <w:marRight w:val="0"/>
      <w:marTop w:val="0"/>
      <w:marBottom w:val="0"/>
      <w:divBdr>
        <w:top w:val="none" w:sz="0" w:space="0" w:color="auto"/>
        <w:left w:val="none" w:sz="0" w:space="0" w:color="auto"/>
        <w:bottom w:val="none" w:sz="0" w:space="0" w:color="auto"/>
        <w:right w:val="none" w:sz="0" w:space="0" w:color="auto"/>
      </w:divBdr>
    </w:div>
    <w:div w:id="807472017">
      <w:bodyDiv w:val="1"/>
      <w:marLeft w:val="0"/>
      <w:marRight w:val="0"/>
      <w:marTop w:val="0"/>
      <w:marBottom w:val="0"/>
      <w:divBdr>
        <w:top w:val="none" w:sz="0" w:space="0" w:color="auto"/>
        <w:left w:val="none" w:sz="0" w:space="0" w:color="auto"/>
        <w:bottom w:val="none" w:sz="0" w:space="0" w:color="auto"/>
        <w:right w:val="none" w:sz="0" w:space="0" w:color="auto"/>
      </w:divBdr>
    </w:div>
    <w:div w:id="823275481">
      <w:bodyDiv w:val="1"/>
      <w:marLeft w:val="0"/>
      <w:marRight w:val="0"/>
      <w:marTop w:val="0"/>
      <w:marBottom w:val="0"/>
      <w:divBdr>
        <w:top w:val="none" w:sz="0" w:space="0" w:color="auto"/>
        <w:left w:val="none" w:sz="0" w:space="0" w:color="auto"/>
        <w:bottom w:val="none" w:sz="0" w:space="0" w:color="auto"/>
        <w:right w:val="none" w:sz="0" w:space="0" w:color="auto"/>
      </w:divBdr>
    </w:div>
    <w:div w:id="833374496">
      <w:bodyDiv w:val="1"/>
      <w:marLeft w:val="0"/>
      <w:marRight w:val="0"/>
      <w:marTop w:val="0"/>
      <w:marBottom w:val="0"/>
      <w:divBdr>
        <w:top w:val="none" w:sz="0" w:space="0" w:color="auto"/>
        <w:left w:val="none" w:sz="0" w:space="0" w:color="auto"/>
        <w:bottom w:val="none" w:sz="0" w:space="0" w:color="auto"/>
        <w:right w:val="none" w:sz="0" w:space="0" w:color="auto"/>
      </w:divBdr>
      <w:divsChild>
        <w:div w:id="560098618">
          <w:marLeft w:val="0"/>
          <w:marRight w:val="0"/>
          <w:marTop w:val="0"/>
          <w:marBottom w:val="0"/>
          <w:divBdr>
            <w:top w:val="none" w:sz="0" w:space="0" w:color="auto"/>
            <w:left w:val="none" w:sz="0" w:space="0" w:color="auto"/>
            <w:bottom w:val="none" w:sz="0" w:space="0" w:color="auto"/>
            <w:right w:val="none" w:sz="0" w:space="0" w:color="auto"/>
          </w:divBdr>
          <w:divsChild>
            <w:div w:id="103162299">
              <w:marLeft w:val="0"/>
              <w:marRight w:val="0"/>
              <w:marTop w:val="0"/>
              <w:marBottom w:val="0"/>
              <w:divBdr>
                <w:top w:val="none" w:sz="0" w:space="0" w:color="auto"/>
                <w:left w:val="none" w:sz="0" w:space="0" w:color="auto"/>
                <w:bottom w:val="none" w:sz="0" w:space="0" w:color="auto"/>
                <w:right w:val="none" w:sz="0" w:space="0" w:color="auto"/>
              </w:divBdr>
              <w:divsChild>
                <w:div w:id="1929002565">
                  <w:marLeft w:val="0"/>
                  <w:marRight w:val="0"/>
                  <w:marTop w:val="0"/>
                  <w:marBottom w:val="0"/>
                  <w:divBdr>
                    <w:top w:val="none" w:sz="0" w:space="0" w:color="auto"/>
                    <w:left w:val="none" w:sz="0" w:space="0" w:color="auto"/>
                    <w:bottom w:val="none" w:sz="0" w:space="0" w:color="auto"/>
                    <w:right w:val="none" w:sz="0" w:space="0" w:color="auto"/>
                  </w:divBdr>
                  <w:divsChild>
                    <w:div w:id="10584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652">
      <w:bodyDiv w:val="1"/>
      <w:marLeft w:val="0"/>
      <w:marRight w:val="0"/>
      <w:marTop w:val="0"/>
      <w:marBottom w:val="0"/>
      <w:divBdr>
        <w:top w:val="none" w:sz="0" w:space="0" w:color="auto"/>
        <w:left w:val="none" w:sz="0" w:space="0" w:color="auto"/>
        <w:bottom w:val="none" w:sz="0" w:space="0" w:color="auto"/>
        <w:right w:val="none" w:sz="0" w:space="0" w:color="auto"/>
      </w:divBdr>
    </w:div>
    <w:div w:id="945384558">
      <w:bodyDiv w:val="1"/>
      <w:marLeft w:val="0"/>
      <w:marRight w:val="0"/>
      <w:marTop w:val="0"/>
      <w:marBottom w:val="0"/>
      <w:divBdr>
        <w:top w:val="none" w:sz="0" w:space="0" w:color="auto"/>
        <w:left w:val="none" w:sz="0" w:space="0" w:color="auto"/>
        <w:bottom w:val="none" w:sz="0" w:space="0" w:color="auto"/>
        <w:right w:val="none" w:sz="0" w:space="0" w:color="auto"/>
      </w:divBdr>
    </w:div>
    <w:div w:id="1026368710">
      <w:bodyDiv w:val="1"/>
      <w:marLeft w:val="0"/>
      <w:marRight w:val="0"/>
      <w:marTop w:val="0"/>
      <w:marBottom w:val="0"/>
      <w:divBdr>
        <w:top w:val="none" w:sz="0" w:space="0" w:color="auto"/>
        <w:left w:val="none" w:sz="0" w:space="0" w:color="auto"/>
        <w:bottom w:val="none" w:sz="0" w:space="0" w:color="auto"/>
        <w:right w:val="none" w:sz="0" w:space="0" w:color="auto"/>
      </w:divBdr>
    </w:div>
    <w:div w:id="1057584214">
      <w:bodyDiv w:val="1"/>
      <w:marLeft w:val="0"/>
      <w:marRight w:val="0"/>
      <w:marTop w:val="0"/>
      <w:marBottom w:val="0"/>
      <w:divBdr>
        <w:top w:val="none" w:sz="0" w:space="0" w:color="auto"/>
        <w:left w:val="none" w:sz="0" w:space="0" w:color="auto"/>
        <w:bottom w:val="none" w:sz="0" w:space="0" w:color="auto"/>
        <w:right w:val="none" w:sz="0" w:space="0" w:color="auto"/>
      </w:divBdr>
    </w:div>
    <w:div w:id="1108811477">
      <w:bodyDiv w:val="1"/>
      <w:marLeft w:val="0"/>
      <w:marRight w:val="0"/>
      <w:marTop w:val="0"/>
      <w:marBottom w:val="0"/>
      <w:divBdr>
        <w:top w:val="none" w:sz="0" w:space="0" w:color="auto"/>
        <w:left w:val="none" w:sz="0" w:space="0" w:color="auto"/>
        <w:bottom w:val="none" w:sz="0" w:space="0" w:color="auto"/>
        <w:right w:val="none" w:sz="0" w:space="0" w:color="auto"/>
      </w:divBdr>
    </w:div>
    <w:div w:id="1139416476">
      <w:bodyDiv w:val="1"/>
      <w:marLeft w:val="0"/>
      <w:marRight w:val="0"/>
      <w:marTop w:val="0"/>
      <w:marBottom w:val="0"/>
      <w:divBdr>
        <w:top w:val="none" w:sz="0" w:space="0" w:color="auto"/>
        <w:left w:val="none" w:sz="0" w:space="0" w:color="auto"/>
        <w:bottom w:val="none" w:sz="0" w:space="0" w:color="auto"/>
        <w:right w:val="none" w:sz="0" w:space="0" w:color="auto"/>
      </w:divBdr>
    </w:div>
    <w:div w:id="1258368085">
      <w:bodyDiv w:val="1"/>
      <w:marLeft w:val="0"/>
      <w:marRight w:val="0"/>
      <w:marTop w:val="0"/>
      <w:marBottom w:val="0"/>
      <w:divBdr>
        <w:top w:val="none" w:sz="0" w:space="0" w:color="auto"/>
        <w:left w:val="none" w:sz="0" w:space="0" w:color="auto"/>
        <w:bottom w:val="none" w:sz="0" w:space="0" w:color="auto"/>
        <w:right w:val="none" w:sz="0" w:space="0" w:color="auto"/>
      </w:divBdr>
    </w:div>
    <w:div w:id="1391031282">
      <w:bodyDiv w:val="1"/>
      <w:marLeft w:val="0"/>
      <w:marRight w:val="0"/>
      <w:marTop w:val="0"/>
      <w:marBottom w:val="0"/>
      <w:divBdr>
        <w:top w:val="none" w:sz="0" w:space="0" w:color="auto"/>
        <w:left w:val="none" w:sz="0" w:space="0" w:color="auto"/>
        <w:bottom w:val="none" w:sz="0" w:space="0" w:color="auto"/>
        <w:right w:val="none" w:sz="0" w:space="0" w:color="auto"/>
      </w:divBdr>
    </w:div>
    <w:div w:id="1396128848">
      <w:bodyDiv w:val="1"/>
      <w:marLeft w:val="0"/>
      <w:marRight w:val="0"/>
      <w:marTop w:val="0"/>
      <w:marBottom w:val="0"/>
      <w:divBdr>
        <w:top w:val="none" w:sz="0" w:space="0" w:color="auto"/>
        <w:left w:val="none" w:sz="0" w:space="0" w:color="auto"/>
        <w:bottom w:val="none" w:sz="0" w:space="0" w:color="auto"/>
        <w:right w:val="none" w:sz="0" w:space="0" w:color="auto"/>
      </w:divBdr>
    </w:div>
    <w:div w:id="1456674875">
      <w:bodyDiv w:val="1"/>
      <w:marLeft w:val="0"/>
      <w:marRight w:val="0"/>
      <w:marTop w:val="0"/>
      <w:marBottom w:val="0"/>
      <w:divBdr>
        <w:top w:val="none" w:sz="0" w:space="0" w:color="auto"/>
        <w:left w:val="none" w:sz="0" w:space="0" w:color="auto"/>
        <w:bottom w:val="none" w:sz="0" w:space="0" w:color="auto"/>
        <w:right w:val="none" w:sz="0" w:space="0" w:color="auto"/>
      </w:divBdr>
    </w:div>
    <w:div w:id="1493987203">
      <w:bodyDiv w:val="1"/>
      <w:marLeft w:val="0"/>
      <w:marRight w:val="0"/>
      <w:marTop w:val="0"/>
      <w:marBottom w:val="0"/>
      <w:divBdr>
        <w:top w:val="none" w:sz="0" w:space="0" w:color="auto"/>
        <w:left w:val="none" w:sz="0" w:space="0" w:color="auto"/>
        <w:bottom w:val="none" w:sz="0" w:space="0" w:color="auto"/>
        <w:right w:val="none" w:sz="0" w:space="0" w:color="auto"/>
      </w:divBdr>
    </w:div>
    <w:div w:id="1514757413">
      <w:bodyDiv w:val="1"/>
      <w:marLeft w:val="0"/>
      <w:marRight w:val="0"/>
      <w:marTop w:val="0"/>
      <w:marBottom w:val="0"/>
      <w:divBdr>
        <w:top w:val="none" w:sz="0" w:space="0" w:color="auto"/>
        <w:left w:val="none" w:sz="0" w:space="0" w:color="auto"/>
        <w:bottom w:val="none" w:sz="0" w:space="0" w:color="auto"/>
        <w:right w:val="none" w:sz="0" w:space="0" w:color="auto"/>
      </w:divBdr>
    </w:div>
    <w:div w:id="1520316784">
      <w:bodyDiv w:val="1"/>
      <w:marLeft w:val="0"/>
      <w:marRight w:val="0"/>
      <w:marTop w:val="0"/>
      <w:marBottom w:val="0"/>
      <w:divBdr>
        <w:top w:val="none" w:sz="0" w:space="0" w:color="auto"/>
        <w:left w:val="none" w:sz="0" w:space="0" w:color="auto"/>
        <w:bottom w:val="none" w:sz="0" w:space="0" w:color="auto"/>
        <w:right w:val="none" w:sz="0" w:space="0" w:color="auto"/>
      </w:divBdr>
      <w:divsChild>
        <w:div w:id="419061817">
          <w:marLeft w:val="0"/>
          <w:marRight w:val="0"/>
          <w:marTop w:val="0"/>
          <w:marBottom w:val="0"/>
          <w:divBdr>
            <w:top w:val="single" w:sz="2" w:space="0" w:color="E5E7EB"/>
            <w:left w:val="single" w:sz="2" w:space="0" w:color="E5E7EB"/>
            <w:bottom w:val="single" w:sz="2" w:space="0" w:color="E5E7EB"/>
            <w:right w:val="single" w:sz="2" w:space="0" w:color="E5E7EB"/>
          </w:divBdr>
          <w:divsChild>
            <w:div w:id="2064592516">
              <w:marLeft w:val="0"/>
              <w:marRight w:val="0"/>
              <w:marTop w:val="0"/>
              <w:marBottom w:val="0"/>
              <w:divBdr>
                <w:top w:val="single" w:sz="2" w:space="0" w:color="E5E7EB"/>
                <w:left w:val="single" w:sz="2" w:space="0" w:color="E5E7EB"/>
                <w:bottom w:val="single" w:sz="2" w:space="0" w:color="E5E7EB"/>
                <w:right w:val="single" w:sz="2" w:space="0" w:color="E5E7EB"/>
              </w:divBdr>
              <w:divsChild>
                <w:div w:id="1997175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0037729">
          <w:marLeft w:val="0"/>
          <w:marRight w:val="0"/>
          <w:marTop w:val="0"/>
          <w:marBottom w:val="0"/>
          <w:divBdr>
            <w:top w:val="single" w:sz="2" w:space="0" w:color="E5E7EB"/>
            <w:left w:val="single" w:sz="2" w:space="0" w:color="E5E7EB"/>
            <w:bottom w:val="single" w:sz="2" w:space="0" w:color="E5E7EB"/>
            <w:right w:val="single" w:sz="2" w:space="0" w:color="E5E7EB"/>
          </w:divBdr>
          <w:divsChild>
            <w:div w:id="816455541">
              <w:marLeft w:val="0"/>
              <w:marRight w:val="0"/>
              <w:marTop w:val="0"/>
              <w:marBottom w:val="0"/>
              <w:divBdr>
                <w:top w:val="single" w:sz="2" w:space="0" w:color="E5E7EB"/>
                <w:left w:val="single" w:sz="2" w:space="0" w:color="E5E7EB"/>
                <w:bottom w:val="single" w:sz="2" w:space="0" w:color="E5E7EB"/>
                <w:right w:val="single" w:sz="2" w:space="0" w:color="E5E7EB"/>
              </w:divBdr>
              <w:divsChild>
                <w:div w:id="540095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5342438">
          <w:marLeft w:val="0"/>
          <w:marRight w:val="0"/>
          <w:marTop w:val="0"/>
          <w:marBottom w:val="0"/>
          <w:divBdr>
            <w:top w:val="single" w:sz="2" w:space="0" w:color="E5E7EB"/>
            <w:left w:val="single" w:sz="2" w:space="0" w:color="E5E7EB"/>
            <w:bottom w:val="single" w:sz="2" w:space="0" w:color="E5E7EB"/>
            <w:right w:val="single" w:sz="2" w:space="0" w:color="E5E7EB"/>
          </w:divBdr>
          <w:divsChild>
            <w:div w:id="175850922">
              <w:marLeft w:val="0"/>
              <w:marRight w:val="0"/>
              <w:marTop w:val="0"/>
              <w:marBottom w:val="0"/>
              <w:divBdr>
                <w:top w:val="single" w:sz="2" w:space="0" w:color="E5E7EB"/>
                <w:left w:val="single" w:sz="2" w:space="0" w:color="E5E7EB"/>
                <w:bottom w:val="single" w:sz="2" w:space="0" w:color="E5E7EB"/>
                <w:right w:val="single" w:sz="2" w:space="0" w:color="E5E7EB"/>
              </w:divBdr>
              <w:divsChild>
                <w:div w:id="579103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8569816">
      <w:bodyDiv w:val="1"/>
      <w:marLeft w:val="0"/>
      <w:marRight w:val="0"/>
      <w:marTop w:val="0"/>
      <w:marBottom w:val="0"/>
      <w:divBdr>
        <w:top w:val="none" w:sz="0" w:space="0" w:color="auto"/>
        <w:left w:val="none" w:sz="0" w:space="0" w:color="auto"/>
        <w:bottom w:val="none" w:sz="0" w:space="0" w:color="auto"/>
        <w:right w:val="none" w:sz="0" w:space="0" w:color="auto"/>
      </w:divBdr>
    </w:div>
    <w:div w:id="1742869849">
      <w:bodyDiv w:val="1"/>
      <w:marLeft w:val="0"/>
      <w:marRight w:val="0"/>
      <w:marTop w:val="0"/>
      <w:marBottom w:val="0"/>
      <w:divBdr>
        <w:top w:val="none" w:sz="0" w:space="0" w:color="auto"/>
        <w:left w:val="none" w:sz="0" w:space="0" w:color="auto"/>
        <w:bottom w:val="none" w:sz="0" w:space="0" w:color="auto"/>
        <w:right w:val="none" w:sz="0" w:space="0" w:color="auto"/>
      </w:divBdr>
      <w:divsChild>
        <w:div w:id="1087575539">
          <w:marLeft w:val="0"/>
          <w:marRight w:val="0"/>
          <w:marTop w:val="0"/>
          <w:marBottom w:val="0"/>
          <w:divBdr>
            <w:top w:val="none" w:sz="0" w:space="0" w:color="auto"/>
            <w:left w:val="none" w:sz="0" w:space="0" w:color="auto"/>
            <w:bottom w:val="none" w:sz="0" w:space="0" w:color="auto"/>
            <w:right w:val="none" w:sz="0" w:space="0" w:color="auto"/>
          </w:divBdr>
          <w:divsChild>
            <w:div w:id="1683242447">
              <w:marLeft w:val="0"/>
              <w:marRight w:val="0"/>
              <w:marTop w:val="0"/>
              <w:marBottom w:val="0"/>
              <w:divBdr>
                <w:top w:val="none" w:sz="0" w:space="0" w:color="auto"/>
                <w:left w:val="none" w:sz="0" w:space="0" w:color="auto"/>
                <w:bottom w:val="none" w:sz="0" w:space="0" w:color="auto"/>
                <w:right w:val="none" w:sz="0" w:space="0" w:color="auto"/>
              </w:divBdr>
              <w:divsChild>
                <w:div w:id="50502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59785452">
      <w:bodyDiv w:val="1"/>
      <w:marLeft w:val="0"/>
      <w:marRight w:val="0"/>
      <w:marTop w:val="0"/>
      <w:marBottom w:val="0"/>
      <w:divBdr>
        <w:top w:val="none" w:sz="0" w:space="0" w:color="auto"/>
        <w:left w:val="none" w:sz="0" w:space="0" w:color="auto"/>
        <w:bottom w:val="none" w:sz="0" w:space="0" w:color="auto"/>
        <w:right w:val="none" w:sz="0" w:space="0" w:color="auto"/>
      </w:divBdr>
    </w:div>
    <w:div w:id="1777944536">
      <w:bodyDiv w:val="1"/>
      <w:marLeft w:val="0"/>
      <w:marRight w:val="0"/>
      <w:marTop w:val="0"/>
      <w:marBottom w:val="0"/>
      <w:divBdr>
        <w:top w:val="none" w:sz="0" w:space="0" w:color="auto"/>
        <w:left w:val="none" w:sz="0" w:space="0" w:color="auto"/>
        <w:bottom w:val="none" w:sz="0" w:space="0" w:color="auto"/>
        <w:right w:val="none" w:sz="0" w:space="0" w:color="auto"/>
      </w:divBdr>
    </w:div>
    <w:div w:id="1778987694">
      <w:bodyDiv w:val="1"/>
      <w:marLeft w:val="0"/>
      <w:marRight w:val="0"/>
      <w:marTop w:val="0"/>
      <w:marBottom w:val="0"/>
      <w:divBdr>
        <w:top w:val="none" w:sz="0" w:space="0" w:color="auto"/>
        <w:left w:val="none" w:sz="0" w:space="0" w:color="auto"/>
        <w:bottom w:val="none" w:sz="0" w:space="0" w:color="auto"/>
        <w:right w:val="none" w:sz="0" w:space="0" w:color="auto"/>
      </w:divBdr>
    </w:div>
    <w:div w:id="1838570056">
      <w:bodyDiv w:val="1"/>
      <w:marLeft w:val="0"/>
      <w:marRight w:val="0"/>
      <w:marTop w:val="0"/>
      <w:marBottom w:val="0"/>
      <w:divBdr>
        <w:top w:val="none" w:sz="0" w:space="0" w:color="auto"/>
        <w:left w:val="none" w:sz="0" w:space="0" w:color="auto"/>
        <w:bottom w:val="none" w:sz="0" w:space="0" w:color="auto"/>
        <w:right w:val="none" w:sz="0" w:space="0" w:color="auto"/>
      </w:divBdr>
    </w:div>
    <w:div w:id="1872643608">
      <w:bodyDiv w:val="1"/>
      <w:marLeft w:val="0"/>
      <w:marRight w:val="0"/>
      <w:marTop w:val="0"/>
      <w:marBottom w:val="0"/>
      <w:divBdr>
        <w:top w:val="none" w:sz="0" w:space="0" w:color="auto"/>
        <w:left w:val="none" w:sz="0" w:space="0" w:color="auto"/>
        <w:bottom w:val="none" w:sz="0" w:space="0" w:color="auto"/>
        <w:right w:val="none" w:sz="0" w:space="0" w:color="auto"/>
      </w:divBdr>
    </w:div>
    <w:div w:id="1948999577">
      <w:bodyDiv w:val="1"/>
      <w:marLeft w:val="0"/>
      <w:marRight w:val="0"/>
      <w:marTop w:val="0"/>
      <w:marBottom w:val="0"/>
      <w:divBdr>
        <w:top w:val="none" w:sz="0" w:space="0" w:color="auto"/>
        <w:left w:val="none" w:sz="0" w:space="0" w:color="auto"/>
        <w:bottom w:val="none" w:sz="0" w:space="0" w:color="auto"/>
        <w:right w:val="none" w:sz="0" w:space="0" w:color="auto"/>
      </w:divBdr>
    </w:div>
    <w:div w:id="198843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23F665-62DE-4D1B-B2BA-1D4D66612A88}">
  <ds:schemaRefs>
    <ds:schemaRef ds:uri="http://schemas.openxmlformats.org/officeDocument/2006/bibliography"/>
  </ds:schemaRefs>
</ds:datastoreItem>
</file>

<file path=customXml/itemProps2.xml><?xml version="1.0" encoding="utf-8"?>
<ds:datastoreItem xmlns:ds="http://schemas.openxmlformats.org/officeDocument/2006/customXml" ds:itemID="{1FF46819-3CA4-4936-B5EB-3738956648BE}">
  <ds:schemaRefs>
    <ds:schemaRef ds:uri="http://schemas.microsoft.com/sharepoint/v3/contenttype/forms"/>
  </ds:schemaRefs>
</ds:datastoreItem>
</file>

<file path=customXml/itemProps3.xml><?xml version="1.0" encoding="utf-8"?>
<ds:datastoreItem xmlns:ds="http://schemas.openxmlformats.org/officeDocument/2006/customXml" ds:itemID="{104D8FDA-BA14-4087-9F1D-93B6C9441C94}">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C3E66191-9CB8-473C-9B22-42BD6B6BB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2831</Words>
  <Characters>16143</Characters>
  <Application>Microsoft Office Word</Application>
  <DocSecurity>0</DocSecurity>
  <Lines>134</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275</cp:revision>
  <dcterms:created xsi:type="dcterms:W3CDTF">2025-07-15T13:23:00Z</dcterms:created>
  <dcterms:modified xsi:type="dcterms:W3CDTF">2025-07-17T15:04:00Z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