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1820A" w14:textId="77777777" w:rsidR="00B0629B" w:rsidRPr="00B0629B" w:rsidRDefault="00B0629B" w:rsidP="00B0629B">
      <w:pPr>
        <w:jc w:val="both"/>
        <w:rPr>
          <w:rFonts w:ascii="Times New Roman" w:hAnsi="Times New Roman" w:cs="Times New Roman"/>
          <w:b/>
          <w:bCs/>
          <w:sz w:val="32"/>
          <w:szCs w:val="32"/>
        </w:rPr>
      </w:pPr>
      <w:proofErr w:type="spellStart"/>
      <w:r w:rsidRPr="00B0629B">
        <w:rPr>
          <w:rFonts w:ascii="Times New Roman" w:hAnsi="Times New Roman" w:cs="Times New Roman"/>
          <w:b/>
          <w:bCs/>
          <w:sz w:val="32"/>
          <w:szCs w:val="32"/>
        </w:rPr>
        <w:t>Iperammortamento</w:t>
      </w:r>
      <w:proofErr w:type="spellEnd"/>
      <w:r w:rsidRPr="00B0629B">
        <w:rPr>
          <w:rFonts w:ascii="Times New Roman" w:hAnsi="Times New Roman" w:cs="Times New Roman"/>
          <w:b/>
          <w:bCs/>
          <w:sz w:val="32"/>
          <w:szCs w:val="32"/>
        </w:rPr>
        <w:t xml:space="preserve"> 2026: dalla norma al beneficio “misurabile” (con un caso pratico guidato)</w:t>
      </w:r>
    </w:p>
    <w:p w14:paraId="2AD6BBEF" w14:textId="77777777" w:rsidR="00B0629B" w:rsidRPr="00B0629B" w:rsidRDefault="00B0629B" w:rsidP="00B0629B">
      <w:pPr>
        <w:jc w:val="both"/>
        <w:rPr>
          <w:rFonts w:ascii="Times New Roman" w:hAnsi="Times New Roman" w:cs="Times New Roman"/>
          <w:sz w:val="24"/>
          <w:szCs w:val="24"/>
        </w:rPr>
      </w:pPr>
      <w:r w:rsidRPr="00B0629B">
        <w:rPr>
          <w:rFonts w:ascii="Times New Roman" w:hAnsi="Times New Roman" w:cs="Times New Roman"/>
          <w:sz w:val="24"/>
          <w:szCs w:val="24"/>
        </w:rPr>
        <w:t>L’</w:t>
      </w:r>
      <w:proofErr w:type="spellStart"/>
      <w:r w:rsidRPr="00B0629B">
        <w:rPr>
          <w:rFonts w:ascii="Times New Roman" w:hAnsi="Times New Roman" w:cs="Times New Roman"/>
          <w:sz w:val="24"/>
          <w:szCs w:val="24"/>
        </w:rPr>
        <w:t>iperammortamento</w:t>
      </w:r>
      <w:proofErr w:type="spellEnd"/>
      <w:r w:rsidRPr="00B0629B">
        <w:rPr>
          <w:rFonts w:ascii="Times New Roman" w:hAnsi="Times New Roman" w:cs="Times New Roman"/>
          <w:sz w:val="24"/>
          <w:szCs w:val="24"/>
        </w:rPr>
        <w:t xml:space="preserve"> è tornato nel lessico operativo delle imprese con un impianto che, almeno sulla carta, sembra familiare: invece di un credito d’imposta “a scatto” e da gestire con comunicazioni e tracciati, il beneficio si traduce in un maggior costo fiscalmente deducibile lungo la vita utile dei beni agevolati. In altre parole: l’investimento resta iscritto contabilmente secondo le regole civilistiche, ma ai fini fiscali “pesa di più”, generando una deduzione aggiuntiva che riduce l’imponibile e, quindi, l’IRES.</w:t>
      </w:r>
    </w:p>
    <w:p w14:paraId="0AF494DF" w14:textId="77777777" w:rsidR="00B0629B" w:rsidRPr="00B0629B" w:rsidRDefault="00B0629B" w:rsidP="00B0629B">
      <w:pPr>
        <w:jc w:val="both"/>
        <w:rPr>
          <w:rFonts w:ascii="Times New Roman" w:hAnsi="Times New Roman" w:cs="Times New Roman"/>
          <w:sz w:val="24"/>
          <w:szCs w:val="24"/>
        </w:rPr>
      </w:pPr>
      <w:r w:rsidRPr="00B0629B">
        <w:rPr>
          <w:rFonts w:ascii="Times New Roman" w:hAnsi="Times New Roman" w:cs="Times New Roman"/>
          <w:sz w:val="24"/>
          <w:szCs w:val="24"/>
        </w:rPr>
        <w:t>È una misura che parla direttamente a imprenditori e professionisti perché ha due caratteristiche “concrete”: (i) il vantaggio è agganciato a dati che l’impresa conosce (costo del bene, coefficiente, periodo), (ii) il beneficio si può simulare con precisione, anche in termini di valore attualizzato. Proprio questa apparente semplicità, però, nasconde un rischio tipico delle agevolazioni pluriennali: gli errori non emergono subito, ma a distanza di anni, quando l’impresa sta fruendo dell’incentivo e la documentazione deve essere coerente e completa.</w:t>
      </w:r>
    </w:p>
    <w:p w14:paraId="63FFE8B4" w14:textId="77777777" w:rsidR="00B0629B" w:rsidRPr="00B0629B" w:rsidRDefault="00B0629B" w:rsidP="00B0629B">
      <w:pPr>
        <w:jc w:val="both"/>
        <w:rPr>
          <w:rFonts w:ascii="Times New Roman" w:hAnsi="Times New Roman" w:cs="Times New Roman"/>
          <w:sz w:val="24"/>
          <w:szCs w:val="24"/>
        </w:rPr>
      </w:pPr>
      <w:r w:rsidRPr="00B0629B">
        <w:rPr>
          <w:rFonts w:ascii="Times New Roman" w:hAnsi="Times New Roman" w:cs="Times New Roman"/>
          <w:sz w:val="24"/>
          <w:szCs w:val="24"/>
        </w:rPr>
        <w:t>L’esperienza insegna che, sull’</w:t>
      </w:r>
      <w:proofErr w:type="spellStart"/>
      <w:r w:rsidRPr="00B0629B">
        <w:rPr>
          <w:rFonts w:ascii="Times New Roman" w:hAnsi="Times New Roman" w:cs="Times New Roman"/>
          <w:sz w:val="24"/>
          <w:szCs w:val="24"/>
        </w:rPr>
        <w:t>iperammortamento</w:t>
      </w:r>
      <w:proofErr w:type="spellEnd"/>
      <w:r w:rsidRPr="00B0629B">
        <w:rPr>
          <w:rFonts w:ascii="Times New Roman" w:hAnsi="Times New Roman" w:cs="Times New Roman"/>
          <w:sz w:val="24"/>
          <w:szCs w:val="24"/>
        </w:rPr>
        <w:t>, gli scivoloni più frequenti non sono “di calcolo”, ma di processo: requisiti soggettivi non presidiati, confusione sulle date rilevanti, gestione non corretta di contributi che incidono sul costo agevolabile, sottovalutazione della perizia e della documentazione sull’interconnessione, conservazione documentale non strutturata. Per questo, un approccio realmente efficace non può limitarsi a “quanto vale l’agevolazione?”, ma deve rispondere anche a “come la rendo difendibile nel tempo?”.</w:t>
      </w:r>
    </w:p>
    <w:p w14:paraId="6B8F3C58" w14:textId="77777777" w:rsidR="00B0629B" w:rsidRPr="00B0629B" w:rsidRDefault="00B0629B" w:rsidP="00B0629B">
      <w:pPr>
        <w:jc w:val="both"/>
        <w:rPr>
          <w:rFonts w:ascii="Times New Roman" w:hAnsi="Times New Roman" w:cs="Times New Roman"/>
          <w:b/>
          <w:bCs/>
          <w:sz w:val="28"/>
          <w:szCs w:val="28"/>
        </w:rPr>
      </w:pPr>
      <w:r w:rsidRPr="00B0629B">
        <w:rPr>
          <w:rFonts w:ascii="Times New Roman" w:hAnsi="Times New Roman" w:cs="Times New Roman"/>
          <w:b/>
          <w:bCs/>
          <w:sz w:val="28"/>
          <w:szCs w:val="28"/>
        </w:rPr>
        <w:t>Requisiti soggettivi: la prima barriera anti-errore</w:t>
      </w:r>
    </w:p>
    <w:p w14:paraId="710AFEF1" w14:textId="77777777" w:rsidR="00B0629B" w:rsidRPr="00B0629B" w:rsidRDefault="00B0629B" w:rsidP="00B0629B">
      <w:pPr>
        <w:jc w:val="both"/>
        <w:rPr>
          <w:rFonts w:ascii="Times New Roman" w:hAnsi="Times New Roman" w:cs="Times New Roman"/>
          <w:sz w:val="24"/>
          <w:szCs w:val="24"/>
        </w:rPr>
      </w:pPr>
      <w:r w:rsidRPr="00B0629B">
        <w:rPr>
          <w:rFonts w:ascii="Times New Roman" w:hAnsi="Times New Roman" w:cs="Times New Roman"/>
          <w:sz w:val="24"/>
          <w:szCs w:val="24"/>
        </w:rPr>
        <w:t>Il punto di partenza non è il bene, ma l’impresa. L’accesso all’</w:t>
      </w:r>
      <w:proofErr w:type="spellStart"/>
      <w:r w:rsidRPr="00B0629B">
        <w:rPr>
          <w:rFonts w:ascii="Times New Roman" w:hAnsi="Times New Roman" w:cs="Times New Roman"/>
          <w:sz w:val="24"/>
          <w:szCs w:val="24"/>
        </w:rPr>
        <w:t>iperammortamento</w:t>
      </w:r>
      <w:proofErr w:type="spellEnd"/>
      <w:r w:rsidRPr="00B0629B">
        <w:rPr>
          <w:rFonts w:ascii="Times New Roman" w:hAnsi="Times New Roman" w:cs="Times New Roman"/>
          <w:sz w:val="24"/>
          <w:szCs w:val="24"/>
        </w:rPr>
        <w:t xml:space="preserve"> presuppone, infatti, la presenza di requisiti soggettivi che, nella pratica, vengono spesso trattati come una formalità e invece costituiscono la prima linea di rischio. Sicurezza sul lavoro, regolarità contributiva, assenza di condizioni ostative e sanzioni interdittive: sono verifiche che hanno un valore molto concreto perché, se non presidiate, rendono irrilevante qualsiasi calcolo del beneficio.</w:t>
      </w:r>
    </w:p>
    <w:p w14:paraId="1938C798" w14:textId="5E45448E" w:rsidR="009365F1" w:rsidRPr="009365F1" w:rsidRDefault="00B0629B" w:rsidP="00B0629B">
      <w:pPr>
        <w:jc w:val="both"/>
        <w:rPr>
          <w:rFonts w:ascii="Times New Roman" w:hAnsi="Times New Roman" w:cs="Times New Roman"/>
          <w:sz w:val="24"/>
          <w:szCs w:val="24"/>
        </w:rPr>
      </w:pPr>
      <w:r w:rsidRPr="00B0629B">
        <w:rPr>
          <w:rFonts w:ascii="Times New Roman" w:hAnsi="Times New Roman" w:cs="Times New Roman"/>
          <w:sz w:val="24"/>
          <w:szCs w:val="24"/>
        </w:rPr>
        <w:t>In un caso pratico, l’impostazione più prudente è rendere questi requisiti “visibili” e tracciati, con un esito sintetico immediato (ammissibile/non ammissibile). È un passaggio che aiuta il professionista anche nella comunicazione con il cliente: l’agevolazione non è un automatismo legato all’acquisto, ma un percorso che parte dal perimetro soggettivo.</w:t>
      </w:r>
    </w:p>
    <w:p w14:paraId="02B4FFD6" w14:textId="1E540B0E" w:rsidR="00B0629B" w:rsidRPr="00B0629B" w:rsidRDefault="00B0629B" w:rsidP="00B0629B">
      <w:pPr>
        <w:jc w:val="both"/>
        <w:rPr>
          <w:rFonts w:ascii="Times New Roman" w:hAnsi="Times New Roman" w:cs="Times New Roman"/>
          <w:b/>
          <w:bCs/>
          <w:sz w:val="28"/>
          <w:szCs w:val="28"/>
        </w:rPr>
      </w:pPr>
      <w:r w:rsidRPr="00B0629B">
        <w:rPr>
          <w:rFonts w:ascii="Times New Roman" w:hAnsi="Times New Roman" w:cs="Times New Roman"/>
          <w:b/>
          <w:bCs/>
          <w:sz w:val="28"/>
          <w:szCs w:val="28"/>
        </w:rPr>
        <w:t>La tabella investimenti: pochi dati giusti, e il modello “fa il resto”</w:t>
      </w:r>
    </w:p>
    <w:p w14:paraId="74C76D29" w14:textId="77777777" w:rsidR="00B0629B" w:rsidRPr="00B0629B" w:rsidRDefault="00B0629B" w:rsidP="00B0629B">
      <w:pPr>
        <w:jc w:val="both"/>
        <w:rPr>
          <w:rFonts w:ascii="Times New Roman" w:hAnsi="Times New Roman" w:cs="Times New Roman"/>
          <w:sz w:val="24"/>
          <w:szCs w:val="24"/>
        </w:rPr>
      </w:pPr>
      <w:r w:rsidRPr="00B0629B">
        <w:rPr>
          <w:rFonts w:ascii="Times New Roman" w:hAnsi="Times New Roman" w:cs="Times New Roman"/>
          <w:sz w:val="24"/>
          <w:szCs w:val="24"/>
        </w:rPr>
        <w:t>Una volta verificata l’ammissibilità, la fase decisiva è la raccolta dei dati sugli investimenti. Qui l’obiettivo non è “riempire celle”, ma costruire una base informativa coerente con ciò che la norma richiede e con ciò che la verifica a posteriori domanderà.</w:t>
      </w:r>
    </w:p>
    <w:p w14:paraId="21B3B57C" w14:textId="77777777" w:rsidR="00B0629B" w:rsidRPr="00B0629B" w:rsidRDefault="00B0629B" w:rsidP="00B0629B">
      <w:pPr>
        <w:jc w:val="both"/>
        <w:rPr>
          <w:rFonts w:ascii="Times New Roman" w:hAnsi="Times New Roman" w:cs="Times New Roman"/>
          <w:sz w:val="24"/>
          <w:szCs w:val="24"/>
        </w:rPr>
      </w:pPr>
      <w:r w:rsidRPr="00B0629B">
        <w:rPr>
          <w:rFonts w:ascii="Times New Roman" w:hAnsi="Times New Roman" w:cs="Times New Roman"/>
          <w:sz w:val="24"/>
          <w:szCs w:val="24"/>
        </w:rPr>
        <w:t>Le colonne che contano davvero, in un modello ben fatto, sono sempre le stesse: descrizione del bene e categoria, costo di acquisizione, eventuali contributi che incidono sul costo agevolabile, base netta, origine UE/SEE, data dell’investimento e anno d’imposta. Il valore aggiunto, però, è la presenza di validazioni automatiche: controllo sul periodo agevolato e controllo sull’anno. Sono dettagli che, nella pratica, riducono gli errori “banali” (ma costosi) e consentono al professionista di accorgersi subito se un inserimento dati sta andando fuori binario.</w:t>
      </w:r>
    </w:p>
    <w:p w14:paraId="6D91C4BB" w14:textId="40FC7833" w:rsidR="009365F1" w:rsidRDefault="00B0629B" w:rsidP="00B0629B">
      <w:pPr>
        <w:jc w:val="both"/>
        <w:rPr>
          <w:rFonts w:ascii="Times New Roman" w:hAnsi="Times New Roman" w:cs="Times New Roman"/>
          <w:sz w:val="24"/>
          <w:szCs w:val="24"/>
        </w:rPr>
      </w:pPr>
      <w:r w:rsidRPr="00B0629B">
        <w:rPr>
          <w:rFonts w:ascii="Times New Roman" w:hAnsi="Times New Roman" w:cs="Times New Roman"/>
          <w:sz w:val="24"/>
          <w:szCs w:val="24"/>
        </w:rPr>
        <w:lastRenderedPageBreak/>
        <w:t>Un altro aspetto spesso sottovalutato è la gestione dei contributi. Anche quando nel caso specifico non sono presenti, avere una colonna dedicata e una base netta calcolata o controllabile rende il tool riutilizzabile in scenari reali, dove la presenza di sovvenzioni o contributi in conto impianti può incidere in modo significativo sulla quantificazione del beneficio.</w:t>
      </w:r>
    </w:p>
    <w:p w14:paraId="773DD917" w14:textId="5E42BBDA" w:rsidR="00B0629B" w:rsidRPr="00B0629B" w:rsidRDefault="009365F1" w:rsidP="00B0629B">
      <w:pPr>
        <w:jc w:val="both"/>
        <w:rPr>
          <w:rFonts w:ascii="Times New Roman" w:hAnsi="Times New Roman" w:cs="Times New Roman"/>
          <w:b/>
          <w:bCs/>
          <w:sz w:val="28"/>
          <w:szCs w:val="28"/>
        </w:rPr>
      </w:pPr>
      <w:r w:rsidRPr="009365F1">
        <w:drawing>
          <wp:inline distT="0" distB="0" distL="0" distR="0" wp14:anchorId="412D94DA" wp14:editId="1BC1361A">
            <wp:extent cx="6120130" cy="1557020"/>
            <wp:effectExtent l="0" t="0" r="0" b="5080"/>
            <wp:docPr id="60186029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20130" cy="1557020"/>
                    </a:xfrm>
                    <a:prstGeom prst="rect">
                      <a:avLst/>
                    </a:prstGeom>
                    <a:noFill/>
                    <a:ln>
                      <a:noFill/>
                    </a:ln>
                  </pic:spPr>
                </pic:pic>
              </a:graphicData>
            </a:graphic>
          </wp:inline>
        </w:drawing>
      </w:r>
      <w:r w:rsidR="00B0629B" w:rsidRPr="00B0629B">
        <w:rPr>
          <w:rFonts w:ascii="Times New Roman" w:hAnsi="Times New Roman" w:cs="Times New Roman"/>
          <w:b/>
          <w:bCs/>
          <w:sz w:val="28"/>
          <w:szCs w:val="28"/>
        </w:rPr>
        <w:t>L’</w:t>
      </w:r>
      <w:proofErr w:type="spellStart"/>
      <w:r w:rsidR="00B0629B" w:rsidRPr="00B0629B">
        <w:rPr>
          <w:rFonts w:ascii="Times New Roman" w:hAnsi="Times New Roman" w:cs="Times New Roman"/>
          <w:b/>
          <w:bCs/>
          <w:sz w:val="28"/>
          <w:szCs w:val="28"/>
        </w:rPr>
        <w:t>iperammortamento</w:t>
      </w:r>
      <w:proofErr w:type="spellEnd"/>
      <w:r w:rsidR="00B0629B" w:rsidRPr="00B0629B">
        <w:rPr>
          <w:rFonts w:ascii="Times New Roman" w:hAnsi="Times New Roman" w:cs="Times New Roman"/>
          <w:b/>
          <w:bCs/>
          <w:sz w:val="28"/>
          <w:szCs w:val="28"/>
        </w:rPr>
        <w:t xml:space="preserve"> non è solo “calcolo”: è un fascicolo documentale</w:t>
      </w:r>
    </w:p>
    <w:p w14:paraId="1ABE4F21" w14:textId="77777777" w:rsidR="00B0629B" w:rsidRPr="00B0629B" w:rsidRDefault="00B0629B" w:rsidP="00B0629B">
      <w:pPr>
        <w:jc w:val="both"/>
        <w:rPr>
          <w:rFonts w:ascii="Times New Roman" w:hAnsi="Times New Roman" w:cs="Times New Roman"/>
          <w:sz w:val="24"/>
          <w:szCs w:val="24"/>
        </w:rPr>
      </w:pPr>
      <w:r w:rsidRPr="00B0629B">
        <w:rPr>
          <w:rFonts w:ascii="Times New Roman" w:hAnsi="Times New Roman" w:cs="Times New Roman"/>
          <w:sz w:val="24"/>
          <w:szCs w:val="24"/>
        </w:rPr>
        <w:t>Il salto di qualità, soprattutto in un articolo per il Sole 24 Ore, sta nel chiarire che l’</w:t>
      </w:r>
      <w:proofErr w:type="spellStart"/>
      <w:r w:rsidRPr="00B0629B">
        <w:rPr>
          <w:rFonts w:ascii="Times New Roman" w:hAnsi="Times New Roman" w:cs="Times New Roman"/>
          <w:sz w:val="24"/>
          <w:szCs w:val="24"/>
        </w:rPr>
        <w:t>iperammortamento</w:t>
      </w:r>
      <w:proofErr w:type="spellEnd"/>
      <w:r w:rsidRPr="00B0629B">
        <w:rPr>
          <w:rFonts w:ascii="Times New Roman" w:hAnsi="Times New Roman" w:cs="Times New Roman"/>
          <w:sz w:val="24"/>
          <w:szCs w:val="24"/>
        </w:rPr>
        <w:t xml:space="preserve"> non è un’operazione “da dichiarazione”, ma una gestione che deve reggere nel tempo. Perché il beneficio si spalma lungo più esercizi e richiede che la documentazione resti coerente e reperibile.</w:t>
      </w:r>
    </w:p>
    <w:p w14:paraId="11EE5D90" w14:textId="77777777" w:rsidR="00B0629B" w:rsidRPr="00B0629B" w:rsidRDefault="00B0629B" w:rsidP="00B0629B">
      <w:pPr>
        <w:jc w:val="both"/>
        <w:rPr>
          <w:rFonts w:ascii="Times New Roman" w:hAnsi="Times New Roman" w:cs="Times New Roman"/>
          <w:sz w:val="24"/>
          <w:szCs w:val="24"/>
        </w:rPr>
      </w:pPr>
      <w:r w:rsidRPr="00B0629B">
        <w:rPr>
          <w:rFonts w:ascii="Times New Roman" w:hAnsi="Times New Roman" w:cs="Times New Roman"/>
          <w:sz w:val="24"/>
          <w:szCs w:val="24"/>
        </w:rPr>
        <w:t>È qui che una checklist strutturata diventa uno strumento di controllo interno, oltre che un supporto operativo: origine UE/SEE (con attestazioni o dichiarazioni), ordine con data certa, fatture, pagamenti, verbali di consegna e messa in funzione, documentazione di interconnessione, e – quando richiesto – perizia tecnica giurata.</w:t>
      </w:r>
    </w:p>
    <w:p w14:paraId="0088161D" w14:textId="77777777" w:rsidR="00B0629B" w:rsidRPr="00B0629B" w:rsidRDefault="00B0629B" w:rsidP="00B0629B">
      <w:pPr>
        <w:jc w:val="both"/>
        <w:rPr>
          <w:rFonts w:ascii="Times New Roman" w:hAnsi="Times New Roman" w:cs="Times New Roman"/>
          <w:sz w:val="24"/>
          <w:szCs w:val="24"/>
        </w:rPr>
      </w:pPr>
      <w:r w:rsidRPr="00B0629B">
        <w:rPr>
          <w:rFonts w:ascii="Times New Roman" w:hAnsi="Times New Roman" w:cs="Times New Roman"/>
          <w:sz w:val="24"/>
          <w:szCs w:val="24"/>
        </w:rPr>
        <w:t>Due elementi meritano un’attenzione specifica:</w:t>
      </w:r>
    </w:p>
    <w:p w14:paraId="7FC4FDDE" w14:textId="77777777" w:rsidR="00B0629B" w:rsidRPr="00B0629B" w:rsidRDefault="00B0629B" w:rsidP="00B0629B">
      <w:pPr>
        <w:numPr>
          <w:ilvl w:val="0"/>
          <w:numId w:val="1"/>
        </w:numPr>
        <w:jc w:val="both"/>
        <w:rPr>
          <w:rFonts w:ascii="Times New Roman" w:hAnsi="Times New Roman" w:cs="Times New Roman"/>
          <w:sz w:val="24"/>
          <w:szCs w:val="24"/>
        </w:rPr>
      </w:pPr>
      <w:r w:rsidRPr="00B0629B">
        <w:rPr>
          <w:rFonts w:ascii="Times New Roman" w:hAnsi="Times New Roman" w:cs="Times New Roman"/>
          <w:sz w:val="24"/>
          <w:szCs w:val="24"/>
        </w:rPr>
        <w:t>Soglia per la perizia: se il modello distingue correttamente i casi in cui la perizia è richiesta e quelli in cui non lo è, riduce un rischio tipico: “perizia dimenticata” o “perizia fatta quando non serve”.</w:t>
      </w:r>
    </w:p>
    <w:p w14:paraId="434C3BB7" w14:textId="77777777" w:rsidR="00B0629B" w:rsidRPr="00B0629B" w:rsidRDefault="00B0629B" w:rsidP="00B0629B">
      <w:pPr>
        <w:numPr>
          <w:ilvl w:val="0"/>
          <w:numId w:val="1"/>
        </w:numPr>
        <w:jc w:val="both"/>
        <w:rPr>
          <w:rFonts w:ascii="Times New Roman" w:hAnsi="Times New Roman" w:cs="Times New Roman"/>
          <w:sz w:val="24"/>
          <w:szCs w:val="24"/>
        </w:rPr>
      </w:pPr>
      <w:r w:rsidRPr="00B0629B">
        <w:rPr>
          <w:rFonts w:ascii="Times New Roman" w:hAnsi="Times New Roman" w:cs="Times New Roman"/>
          <w:sz w:val="24"/>
          <w:szCs w:val="24"/>
        </w:rPr>
        <w:t>Interconnessione: è un concetto tecnico, ma con conseguenze fiscali; serve che l’impresa sappia dimostrare, con evidenze documentali, la connessione reale al sistema aziendale.</w:t>
      </w:r>
    </w:p>
    <w:p w14:paraId="5E9BA97B" w14:textId="77777777" w:rsidR="00B0629B" w:rsidRPr="00B0629B" w:rsidRDefault="00B0629B" w:rsidP="00B0629B">
      <w:pPr>
        <w:jc w:val="both"/>
        <w:rPr>
          <w:rFonts w:ascii="Times New Roman" w:hAnsi="Times New Roman" w:cs="Times New Roman"/>
          <w:sz w:val="24"/>
          <w:szCs w:val="24"/>
        </w:rPr>
      </w:pPr>
      <w:r w:rsidRPr="00B0629B">
        <w:rPr>
          <w:rFonts w:ascii="Times New Roman" w:hAnsi="Times New Roman" w:cs="Times New Roman"/>
          <w:sz w:val="24"/>
          <w:szCs w:val="24"/>
        </w:rPr>
        <w:t>Una checklist ben costruita permette anche di gestire correttamente le voci “non applicabili” (N/A), evitando che l’utente cerchi documenti inutili o, peggio, trascuri quelli davvero necessari.</w:t>
      </w:r>
    </w:p>
    <w:p w14:paraId="4A2EF225" w14:textId="15D00441" w:rsidR="009365F1" w:rsidRDefault="009365F1" w:rsidP="00B0629B">
      <w:pPr>
        <w:jc w:val="both"/>
        <w:rPr>
          <w:rFonts w:ascii="Times New Roman" w:hAnsi="Times New Roman" w:cs="Times New Roman"/>
          <w:sz w:val="24"/>
          <w:szCs w:val="24"/>
        </w:rPr>
      </w:pPr>
      <w:r w:rsidRPr="009365F1">
        <w:drawing>
          <wp:inline distT="0" distB="0" distL="0" distR="0" wp14:anchorId="683FF7D2" wp14:editId="7B888FAA">
            <wp:extent cx="6120130" cy="1831340"/>
            <wp:effectExtent l="0" t="0" r="0" b="0"/>
            <wp:docPr id="1270688287"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0130" cy="1831340"/>
                    </a:xfrm>
                    <a:prstGeom prst="rect">
                      <a:avLst/>
                    </a:prstGeom>
                    <a:noFill/>
                    <a:ln>
                      <a:noFill/>
                    </a:ln>
                  </pic:spPr>
                </pic:pic>
              </a:graphicData>
            </a:graphic>
          </wp:inline>
        </w:drawing>
      </w:r>
    </w:p>
    <w:p w14:paraId="65AC1988" w14:textId="02B3E398" w:rsidR="00B0629B" w:rsidRPr="00B0629B" w:rsidRDefault="00B0629B" w:rsidP="00B0629B">
      <w:pPr>
        <w:jc w:val="both"/>
        <w:rPr>
          <w:rFonts w:ascii="Times New Roman" w:hAnsi="Times New Roman" w:cs="Times New Roman"/>
          <w:b/>
          <w:bCs/>
          <w:sz w:val="28"/>
          <w:szCs w:val="28"/>
        </w:rPr>
      </w:pPr>
      <w:r w:rsidRPr="00B0629B">
        <w:rPr>
          <w:rFonts w:ascii="Times New Roman" w:hAnsi="Times New Roman" w:cs="Times New Roman"/>
          <w:b/>
          <w:bCs/>
          <w:sz w:val="28"/>
          <w:szCs w:val="28"/>
        </w:rPr>
        <w:t>Dalla base netta al costo fiscalmente deducibile: la logica della maggiorazione</w:t>
      </w:r>
    </w:p>
    <w:p w14:paraId="165C562B" w14:textId="77777777" w:rsidR="00B0629B" w:rsidRPr="00B0629B" w:rsidRDefault="00B0629B" w:rsidP="00B0629B">
      <w:pPr>
        <w:jc w:val="both"/>
        <w:rPr>
          <w:rFonts w:ascii="Times New Roman" w:hAnsi="Times New Roman" w:cs="Times New Roman"/>
          <w:sz w:val="24"/>
          <w:szCs w:val="24"/>
        </w:rPr>
      </w:pPr>
      <w:r w:rsidRPr="00B0629B">
        <w:rPr>
          <w:rFonts w:ascii="Times New Roman" w:hAnsi="Times New Roman" w:cs="Times New Roman"/>
          <w:sz w:val="24"/>
          <w:szCs w:val="24"/>
        </w:rPr>
        <w:t>Il cuore tecnico dell’</w:t>
      </w:r>
      <w:proofErr w:type="spellStart"/>
      <w:r w:rsidRPr="00B0629B">
        <w:rPr>
          <w:rFonts w:ascii="Times New Roman" w:hAnsi="Times New Roman" w:cs="Times New Roman"/>
          <w:sz w:val="24"/>
          <w:szCs w:val="24"/>
        </w:rPr>
        <w:t>iperammortamento</w:t>
      </w:r>
      <w:proofErr w:type="spellEnd"/>
      <w:r w:rsidRPr="00B0629B">
        <w:rPr>
          <w:rFonts w:ascii="Times New Roman" w:hAnsi="Times New Roman" w:cs="Times New Roman"/>
          <w:sz w:val="24"/>
          <w:szCs w:val="24"/>
        </w:rPr>
        <w:t xml:space="preserve"> è la trasformazione del costo “economico” (base netta) in costo fiscalmente deducibile maggiorato. In un modello ben progettato, questa trasformazione deve essere trasparente: per ogni investimento si vede la base, la maggiorazione, il totale e la percentuale </w:t>
      </w:r>
      <w:r w:rsidRPr="00B0629B">
        <w:rPr>
          <w:rFonts w:ascii="Times New Roman" w:hAnsi="Times New Roman" w:cs="Times New Roman"/>
          <w:sz w:val="24"/>
          <w:szCs w:val="24"/>
        </w:rPr>
        <w:lastRenderedPageBreak/>
        <w:t>effettiva. In questo modo, l’utente può verificare immediatamente se la maggiorazione applicata è coerente con le regole e con la categoria del bene.</w:t>
      </w:r>
    </w:p>
    <w:p w14:paraId="6F626857" w14:textId="77777777" w:rsidR="00B0629B" w:rsidRPr="00B0629B" w:rsidRDefault="00B0629B" w:rsidP="00B0629B">
      <w:pPr>
        <w:jc w:val="both"/>
        <w:rPr>
          <w:rFonts w:ascii="Times New Roman" w:hAnsi="Times New Roman" w:cs="Times New Roman"/>
          <w:sz w:val="24"/>
          <w:szCs w:val="24"/>
        </w:rPr>
      </w:pPr>
      <w:r w:rsidRPr="00B0629B">
        <w:rPr>
          <w:rFonts w:ascii="Times New Roman" w:hAnsi="Times New Roman" w:cs="Times New Roman"/>
          <w:sz w:val="24"/>
          <w:szCs w:val="24"/>
        </w:rPr>
        <w:t>Il punto più utile, dal punto di vista divulgativo, è far comprendere che il vantaggio non coincide con la maggiorazione: il vantaggio reale è l’effetto fiscale della deduzione aggiuntiva, e quindi il risparmio d’imposta generato nel tempo. Un foglio di calcolo che quantifica già il beneficio attualizzato completa il quadro perché restituisce al lettore la metrica più “economica” della convenienza, soprattutto quando l’impresa confronta investimenti alternativi o valuta tempi e priorità.</w:t>
      </w:r>
    </w:p>
    <w:p w14:paraId="2D49BEB4" w14:textId="7BFBB7B0" w:rsidR="00B0629B" w:rsidRPr="00B0629B" w:rsidRDefault="009365F1" w:rsidP="00B0629B">
      <w:pPr>
        <w:jc w:val="both"/>
        <w:rPr>
          <w:rFonts w:ascii="Times New Roman" w:hAnsi="Times New Roman" w:cs="Times New Roman"/>
          <w:sz w:val="24"/>
          <w:szCs w:val="24"/>
        </w:rPr>
      </w:pPr>
      <w:r w:rsidRPr="009365F1">
        <w:drawing>
          <wp:inline distT="0" distB="0" distL="0" distR="0" wp14:anchorId="4DF21F87" wp14:editId="6C39AF01">
            <wp:extent cx="6120130" cy="1097280"/>
            <wp:effectExtent l="0" t="0" r="0" b="7620"/>
            <wp:docPr id="1057106469"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0130" cy="1097280"/>
                    </a:xfrm>
                    <a:prstGeom prst="rect">
                      <a:avLst/>
                    </a:prstGeom>
                    <a:noFill/>
                    <a:ln>
                      <a:noFill/>
                    </a:ln>
                  </pic:spPr>
                </pic:pic>
              </a:graphicData>
            </a:graphic>
          </wp:inline>
        </w:drawing>
      </w:r>
    </w:p>
    <w:p w14:paraId="0125C4DA" w14:textId="77777777" w:rsidR="00B0629B" w:rsidRPr="00B0629B" w:rsidRDefault="00B0629B" w:rsidP="00B0629B">
      <w:pPr>
        <w:jc w:val="both"/>
        <w:rPr>
          <w:rFonts w:ascii="Times New Roman" w:hAnsi="Times New Roman" w:cs="Times New Roman"/>
          <w:b/>
          <w:bCs/>
          <w:sz w:val="28"/>
          <w:szCs w:val="28"/>
        </w:rPr>
      </w:pPr>
      <w:r w:rsidRPr="00B0629B">
        <w:rPr>
          <w:rFonts w:ascii="Times New Roman" w:hAnsi="Times New Roman" w:cs="Times New Roman"/>
          <w:b/>
          <w:bCs/>
          <w:sz w:val="28"/>
          <w:szCs w:val="28"/>
        </w:rPr>
        <w:t>Il piano di ammortamento fiscale maggiorato: il beneficio “anno per anno”</w:t>
      </w:r>
    </w:p>
    <w:p w14:paraId="20FDA149" w14:textId="77777777" w:rsidR="00B0629B" w:rsidRPr="00B0629B" w:rsidRDefault="00B0629B" w:rsidP="00B0629B">
      <w:pPr>
        <w:jc w:val="both"/>
        <w:rPr>
          <w:rFonts w:ascii="Times New Roman" w:hAnsi="Times New Roman" w:cs="Times New Roman"/>
          <w:sz w:val="24"/>
          <w:szCs w:val="24"/>
        </w:rPr>
      </w:pPr>
      <w:r w:rsidRPr="00B0629B">
        <w:rPr>
          <w:rFonts w:ascii="Times New Roman" w:hAnsi="Times New Roman" w:cs="Times New Roman"/>
          <w:sz w:val="24"/>
          <w:szCs w:val="24"/>
        </w:rPr>
        <w:t>Se c’è una sezione che convince anche il lettore meno tecnico, è il piano di ammortamento fiscale maggiorato: perché rende evidente, per ciascun anno, la differenza tra quota civilistica e quota fiscale maggiorata, e quindi la deduzione aggiuntiva e il relativo risparmio IRES.</w:t>
      </w:r>
    </w:p>
    <w:p w14:paraId="3D2128F0" w14:textId="77777777" w:rsidR="00B0629B" w:rsidRPr="00B0629B" w:rsidRDefault="00B0629B" w:rsidP="00B0629B">
      <w:pPr>
        <w:jc w:val="both"/>
        <w:rPr>
          <w:rFonts w:ascii="Times New Roman" w:hAnsi="Times New Roman" w:cs="Times New Roman"/>
          <w:sz w:val="24"/>
          <w:szCs w:val="24"/>
        </w:rPr>
      </w:pPr>
      <w:r w:rsidRPr="00B0629B">
        <w:rPr>
          <w:rFonts w:ascii="Times New Roman" w:hAnsi="Times New Roman" w:cs="Times New Roman"/>
          <w:sz w:val="24"/>
          <w:szCs w:val="24"/>
        </w:rPr>
        <w:t>Questa parte è decisiva anche per il professionista, perché traduce la norma in un impatto sul conto economico “fiscale” e sui flussi d’imposta. E consente una lettura immediata di due aspetti pratici:</w:t>
      </w:r>
    </w:p>
    <w:p w14:paraId="3C2C661A" w14:textId="77777777" w:rsidR="00B0629B" w:rsidRPr="00B0629B" w:rsidRDefault="00B0629B" w:rsidP="00B0629B">
      <w:pPr>
        <w:numPr>
          <w:ilvl w:val="0"/>
          <w:numId w:val="2"/>
        </w:numPr>
        <w:jc w:val="both"/>
        <w:rPr>
          <w:rFonts w:ascii="Times New Roman" w:hAnsi="Times New Roman" w:cs="Times New Roman"/>
          <w:sz w:val="24"/>
          <w:szCs w:val="24"/>
        </w:rPr>
      </w:pPr>
      <w:r w:rsidRPr="00B0629B">
        <w:rPr>
          <w:rFonts w:ascii="Times New Roman" w:hAnsi="Times New Roman" w:cs="Times New Roman"/>
          <w:sz w:val="24"/>
          <w:szCs w:val="24"/>
        </w:rPr>
        <w:t>come il beneficio si distribuisce nel tempo (non sempre in modo uniforme);</w:t>
      </w:r>
    </w:p>
    <w:p w14:paraId="0E55CC9D" w14:textId="77777777" w:rsidR="00B0629B" w:rsidRPr="00B0629B" w:rsidRDefault="00B0629B" w:rsidP="00B0629B">
      <w:pPr>
        <w:numPr>
          <w:ilvl w:val="0"/>
          <w:numId w:val="2"/>
        </w:numPr>
        <w:jc w:val="both"/>
        <w:rPr>
          <w:rFonts w:ascii="Times New Roman" w:hAnsi="Times New Roman" w:cs="Times New Roman"/>
          <w:sz w:val="24"/>
          <w:szCs w:val="24"/>
        </w:rPr>
      </w:pPr>
      <w:r w:rsidRPr="00B0629B">
        <w:rPr>
          <w:rFonts w:ascii="Times New Roman" w:hAnsi="Times New Roman" w:cs="Times New Roman"/>
          <w:sz w:val="24"/>
          <w:szCs w:val="24"/>
        </w:rPr>
        <w:t>come cambia il profilo del risparmio al variare dei coefficienti/aliquote di ammortamento.</w:t>
      </w:r>
    </w:p>
    <w:p w14:paraId="0C975C5C" w14:textId="77777777" w:rsidR="00B0629B" w:rsidRPr="00B0629B" w:rsidRDefault="00B0629B" w:rsidP="00B0629B">
      <w:pPr>
        <w:jc w:val="both"/>
        <w:rPr>
          <w:rFonts w:ascii="Times New Roman" w:hAnsi="Times New Roman" w:cs="Times New Roman"/>
          <w:sz w:val="24"/>
          <w:szCs w:val="24"/>
        </w:rPr>
      </w:pPr>
      <w:r w:rsidRPr="00B0629B">
        <w:rPr>
          <w:rFonts w:ascii="Times New Roman" w:hAnsi="Times New Roman" w:cs="Times New Roman"/>
          <w:sz w:val="24"/>
          <w:szCs w:val="24"/>
        </w:rPr>
        <w:t>In un articolo, è utile mostrare due piani: uno su un investimento più rilevante e uno su un investimento minore, per far capire che il meccanismo resta identico ma cambiano tempi e intensità del beneficio.</w:t>
      </w:r>
    </w:p>
    <w:p w14:paraId="6FDC3045" w14:textId="224A50BD" w:rsidR="009365F1" w:rsidRDefault="009365F1" w:rsidP="00B0629B">
      <w:pPr>
        <w:jc w:val="both"/>
        <w:rPr>
          <w:rFonts w:ascii="Times New Roman" w:hAnsi="Times New Roman" w:cs="Times New Roman"/>
          <w:sz w:val="24"/>
          <w:szCs w:val="24"/>
        </w:rPr>
      </w:pPr>
      <w:r w:rsidRPr="009365F1">
        <w:drawing>
          <wp:inline distT="0" distB="0" distL="0" distR="0" wp14:anchorId="5EA3BDF7" wp14:editId="5F72FFDE">
            <wp:extent cx="6120130" cy="2156460"/>
            <wp:effectExtent l="0" t="0" r="0" b="0"/>
            <wp:docPr id="53468914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2156460"/>
                    </a:xfrm>
                    <a:prstGeom prst="rect">
                      <a:avLst/>
                    </a:prstGeom>
                    <a:noFill/>
                    <a:ln>
                      <a:noFill/>
                    </a:ln>
                  </pic:spPr>
                </pic:pic>
              </a:graphicData>
            </a:graphic>
          </wp:inline>
        </w:drawing>
      </w:r>
    </w:p>
    <w:p w14:paraId="6EA7AA23" w14:textId="574D093D" w:rsidR="009365F1" w:rsidRDefault="009365F1" w:rsidP="00B0629B">
      <w:pPr>
        <w:jc w:val="both"/>
        <w:rPr>
          <w:rFonts w:ascii="Times New Roman" w:hAnsi="Times New Roman" w:cs="Times New Roman"/>
          <w:sz w:val="24"/>
          <w:szCs w:val="24"/>
        </w:rPr>
      </w:pPr>
      <w:r w:rsidRPr="009365F1">
        <w:lastRenderedPageBreak/>
        <w:drawing>
          <wp:inline distT="0" distB="0" distL="0" distR="0" wp14:anchorId="70059844" wp14:editId="0D250691">
            <wp:extent cx="6120130" cy="2156460"/>
            <wp:effectExtent l="0" t="0" r="0" b="0"/>
            <wp:docPr id="1157069968"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2156460"/>
                    </a:xfrm>
                    <a:prstGeom prst="rect">
                      <a:avLst/>
                    </a:prstGeom>
                    <a:noFill/>
                    <a:ln>
                      <a:noFill/>
                    </a:ln>
                  </pic:spPr>
                </pic:pic>
              </a:graphicData>
            </a:graphic>
          </wp:inline>
        </w:drawing>
      </w:r>
    </w:p>
    <w:p w14:paraId="43F1B3F9" w14:textId="2263F5DF" w:rsidR="00B0629B" w:rsidRPr="00B0629B" w:rsidRDefault="00B0629B" w:rsidP="00B0629B">
      <w:pPr>
        <w:jc w:val="both"/>
        <w:rPr>
          <w:rFonts w:ascii="Times New Roman" w:hAnsi="Times New Roman" w:cs="Times New Roman"/>
          <w:b/>
          <w:bCs/>
          <w:sz w:val="28"/>
          <w:szCs w:val="28"/>
        </w:rPr>
      </w:pPr>
      <w:r w:rsidRPr="00B0629B">
        <w:rPr>
          <w:rFonts w:ascii="Times New Roman" w:hAnsi="Times New Roman" w:cs="Times New Roman"/>
          <w:b/>
          <w:bCs/>
          <w:sz w:val="28"/>
          <w:szCs w:val="28"/>
        </w:rPr>
        <w:t>La dashboard finale: sintesi per decisioni e reporting</w:t>
      </w:r>
    </w:p>
    <w:p w14:paraId="2A92436E" w14:textId="77777777" w:rsidR="00B0629B" w:rsidRPr="00B0629B" w:rsidRDefault="00B0629B" w:rsidP="00B0629B">
      <w:pPr>
        <w:jc w:val="both"/>
        <w:rPr>
          <w:rFonts w:ascii="Times New Roman" w:hAnsi="Times New Roman" w:cs="Times New Roman"/>
          <w:sz w:val="24"/>
          <w:szCs w:val="24"/>
        </w:rPr>
      </w:pPr>
      <w:r w:rsidRPr="00B0629B">
        <w:rPr>
          <w:rFonts w:ascii="Times New Roman" w:hAnsi="Times New Roman" w:cs="Times New Roman"/>
          <w:sz w:val="24"/>
          <w:szCs w:val="24"/>
        </w:rPr>
        <w:t>La sintesi finale serve a due scopi: comunicazione e controllo. Comunicazione perché permette all’imprenditore di cogliere in un colpo d’occhio l’ordine di grandezza del beneficio; controllo perché consente al professionista di verificare coerenza tra dati inseriti, maggiorazioni calcolate e impatto fiscale complessivo.</w:t>
      </w:r>
    </w:p>
    <w:p w14:paraId="4831A2FC" w14:textId="77777777" w:rsidR="00B0629B" w:rsidRPr="00B0629B" w:rsidRDefault="00B0629B" w:rsidP="00B0629B">
      <w:pPr>
        <w:jc w:val="both"/>
        <w:rPr>
          <w:rFonts w:ascii="Times New Roman" w:hAnsi="Times New Roman" w:cs="Times New Roman"/>
          <w:sz w:val="24"/>
          <w:szCs w:val="24"/>
        </w:rPr>
      </w:pPr>
      <w:r w:rsidRPr="00B0629B">
        <w:rPr>
          <w:rFonts w:ascii="Times New Roman" w:hAnsi="Times New Roman" w:cs="Times New Roman"/>
          <w:sz w:val="24"/>
          <w:szCs w:val="24"/>
        </w:rPr>
        <w:t>In particolare, è utile che la dashboard distingua per categoria (materiali 4.0, immateriali 4.0, eventuali altre linee) e che esponga sia il beneficio complessivo sia quello attualizzato. In un’epoca in cui molte scelte di investimento si confrontano su orizzonti pluriennali, l’attualizzazione non è un esercizio accademico, ma uno strumento di decisione.</w:t>
      </w:r>
    </w:p>
    <w:p w14:paraId="31536328" w14:textId="77777777" w:rsidR="00B0629B" w:rsidRPr="00B0629B" w:rsidRDefault="00B0629B" w:rsidP="00B0629B">
      <w:pPr>
        <w:jc w:val="both"/>
        <w:rPr>
          <w:rFonts w:ascii="Times New Roman" w:hAnsi="Times New Roman" w:cs="Times New Roman"/>
          <w:b/>
          <w:bCs/>
          <w:sz w:val="28"/>
          <w:szCs w:val="28"/>
        </w:rPr>
      </w:pPr>
      <w:r w:rsidRPr="00B0629B">
        <w:rPr>
          <w:rFonts w:ascii="Times New Roman" w:hAnsi="Times New Roman" w:cs="Times New Roman"/>
          <w:b/>
          <w:bCs/>
          <w:sz w:val="28"/>
          <w:szCs w:val="28"/>
        </w:rPr>
        <w:t>Conclusione: l’incentivo è “forte” quando è misurabile e difendibile</w:t>
      </w:r>
    </w:p>
    <w:p w14:paraId="670FB90A" w14:textId="77777777" w:rsidR="00B0629B" w:rsidRPr="00B0629B" w:rsidRDefault="00B0629B" w:rsidP="00B0629B">
      <w:pPr>
        <w:jc w:val="both"/>
        <w:rPr>
          <w:rFonts w:ascii="Times New Roman" w:hAnsi="Times New Roman" w:cs="Times New Roman"/>
          <w:sz w:val="24"/>
          <w:szCs w:val="24"/>
        </w:rPr>
      </w:pPr>
      <w:r w:rsidRPr="00B0629B">
        <w:rPr>
          <w:rFonts w:ascii="Times New Roman" w:hAnsi="Times New Roman" w:cs="Times New Roman"/>
          <w:sz w:val="24"/>
          <w:szCs w:val="24"/>
        </w:rPr>
        <w:t>L’</w:t>
      </w:r>
      <w:proofErr w:type="spellStart"/>
      <w:r w:rsidRPr="00B0629B">
        <w:rPr>
          <w:rFonts w:ascii="Times New Roman" w:hAnsi="Times New Roman" w:cs="Times New Roman"/>
          <w:sz w:val="24"/>
          <w:szCs w:val="24"/>
        </w:rPr>
        <w:t>iperammortamento</w:t>
      </w:r>
      <w:proofErr w:type="spellEnd"/>
      <w:r w:rsidRPr="00B0629B">
        <w:rPr>
          <w:rFonts w:ascii="Times New Roman" w:hAnsi="Times New Roman" w:cs="Times New Roman"/>
          <w:sz w:val="24"/>
          <w:szCs w:val="24"/>
        </w:rPr>
        <w:t xml:space="preserve"> è interessante non solo per la sua capacità di aumentare la deducibilità fiscale, ma per la sua natura “contabile”: costringe a ragionare in termini di vita utile, quota annua e tempo. È un incentivo che premia chi investe in modo strutturato e, proprio per questo, richiede una gestione altrettanto strutturata.</w:t>
      </w:r>
    </w:p>
    <w:p w14:paraId="613AA7B9" w14:textId="77777777" w:rsidR="00B0629B" w:rsidRPr="00B0629B" w:rsidRDefault="00B0629B" w:rsidP="00B0629B">
      <w:pPr>
        <w:jc w:val="both"/>
        <w:rPr>
          <w:rFonts w:ascii="Times New Roman" w:hAnsi="Times New Roman" w:cs="Times New Roman"/>
          <w:sz w:val="24"/>
          <w:szCs w:val="24"/>
        </w:rPr>
      </w:pPr>
      <w:r w:rsidRPr="00B0629B">
        <w:rPr>
          <w:rFonts w:ascii="Times New Roman" w:hAnsi="Times New Roman" w:cs="Times New Roman"/>
          <w:sz w:val="24"/>
          <w:szCs w:val="24"/>
        </w:rPr>
        <w:t>Per imprese e professionisti, la differenza tra “opportunità” e “beneficio certo” sta nel metodo: anagrafica e requisiti soggettivi presidiati, investimenti inseriti con dati essenziali ma corretti, validazioni automatiche su date e periodi, checklist documentale che guidi la compliance, calcolo trasparente delle maggiorazioni e piano di ammortamento che mostri il risparmio anno per anno, fino alla dashboard finale.</w:t>
      </w:r>
    </w:p>
    <w:p w14:paraId="22413E0C" w14:textId="77777777" w:rsidR="00B0629B" w:rsidRPr="00B0629B" w:rsidRDefault="00B0629B" w:rsidP="00B0629B">
      <w:pPr>
        <w:jc w:val="both"/>
        <w:rPr>
          <w:rFonts w:ascii="Times New Roman" w:hAnsi="Times New Roman" w:cs="Times New Roman"/>
          <w:sz w:val="24"/>
          <w:szCs w:val="24"/>
        </w:rPr>
      </w:pPr>
      <w:r w:rsidRPr="00B0629B">
        <w:rPr>
          <w:rFonts w:ascii="Times New Roman" w:hAnsi="Times New Roman" w:cs="Times New Roman"/>
          <w:sz w:val="24"/>
          <w:szCs w:val="24"/>
        </w:rPr>
        <w:t>In questa prospettiva, il tool non è un semplice “calcolatore”: è una procedura operativa che riduce errori, rende più semplice la gestione pluriennale e consente una comunicazione efficace del valore dell’</w:t>
      </w:r>
      <w:proofErr w:type="spellStart"/>
      <w:r w:rsidRPr="00B0629B">
        <w:rPr>
          <w:rFonts w:ascii="Times New Roman" w:hAnsi="Times New Roman" w:cs="Times New Roman"/>
          <w:sz w:val="24"/>
          <w:szCs w:val="24"/>
        </w:rPr>
        <w:t>iperammortamento</w:t>
      </w:r>
      <w:proofErr w:type="spellEnd"/>
      <w:r w:rsidRPr="00B0629B">
        <w:rPr>
          <w:rFonts w:ascii="Times New Roman" w:hAnsi="Times New Roman" w:cs="Times New Roman"/>
          <w:sz w:val="24"/>
          <w:szCs w:val="24"/>
        </w:rPr>
        <w:t>, con numeri chiari e verificabili.</w:t>
      </w:r>
    </w:p>
    <w:p w14:paraId="043CDD1D" w14:textId="6A434DEC" w:rsidR="006E5569" w:rsidRPr="00B0629B" w:rsidRDefault="009365F1" w:rsidP="00B0629B">
      <w:pPr>
        <w:jc w:val="both"/>
        <w:rPr>
          <w:rFonts w:ascii="Times New Roman" w:hAnsi="Times New Roman" w:cs="Times New Roman"/>
          <w:sz w:val="24"/>
          <w:szCs w:val="24"/>
        </w:rPr>
      </w:pPr>
      <w:r w:rsidRPr="009365F1">
        <w:lastRenderedPageBreak/>
        <w:drawing>
          <wp:inline distT="0" distB="0" distL="0" distR="0" wp14:anchorId="61867E4C" wp14:editId="29B30D59">
            <wp:extent cx="6120130" cy="2193925"/>
            <wp:effectExtent l="0" t="0" r="0" b="0"/>
            <wp:docPr id="1436731845"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2193925"/>
                    </a:xfrm>
                    <a:prstGeom prst="rect">
                      <a:avLst/>
                    </a:prstGeom>
                    <a:noFill/>
                    <a:ln>
                      <a:noFill/>
                    </a:ln>
                  </pic:spPr>
                </pic:pic>
              </a:graphicData>
            </a:graphic>
          </wp:inline>
        </w:drawing>
      </w:r>
      <w:r w:rsidR="00B577F2">
        <w:rPr>
          <w:rFonts w:ascii="Times New Roman" w:hAnsi="Times New Roman" w:cs="Times New Roman"/>
          <w:sz w:val="24"/>
          <w:szCs w:val="24"/>
        </w:rPr>
        <w:t xml:space="preserve"> </w:t>
      </w:r>
      <w:r w:rsidR="0069370B">
        <w:rPr>
          <w:rFonts w:ascii="Times New Roman" w:hAnsi="Times New Roman" w:cs="Times New Roman"/>
          <w:sz w:val="24"/>
          <w:szCs w:val="24"/>
        </w:rPr>
        <w:t xml:space="preserve"> </w:t>
      </w:r>
    </w:p>
    <w:sectPr w:rsidR="006E5569" w:rsidRPr="00B0629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051288"/>
    <w:multiLevelType w:val="multilevel"/>
    <w:tmpl w:val="29C8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844F2B"/>
    <w:multiLevelType w:val="multilevel"/>
    <w:tmpl w:val="AFB08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0062796">
    <w:abstractNumId w:val="1"/>
  </w:num>
  <w:num w:numId="2" w16cid:durableId="9495097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350"/>
    <w:rsid w:val="00276350"/>
    <w:rsid w:val="0069370B"/>
    <w:rsid w:val="006E5569"/>
    <w:rsid w:val="007F21E4"/>
    <w:rsid w:val="009365F1"/>
    <w:rsid w:val="00A34F14"/>
    <w:rsid w:val="00B0629B"/>
    <w:rsid w:val="00B577F2"/>
    <w:rsid w:val="00E22F0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534C"/>
  <w15:chartTrackingRefBased/>
  <w15:docId w15:val="{880D12CD-0A82-4DAB-BE3F-37E5B4614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763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2763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27635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7635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7635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7635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7635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7635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7635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7635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27635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27635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7635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7635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7635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7635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7635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76350"/>
    <w:rPr>
      <w:rFonts w:eastAsiaTheme="majorEastAsia" w:cstheme="majorBidi"/>
      <w:color w:val="272727" w:themeColor="text1" w:themeTint="D8"/>
    </w:rPr>
  </w:style>
  <w:style w:type="paragraph" w:styleId="Titolo">
    <w:name w:val="Title"/>
    <w:basedOn w:val="Normale"/>
    <w:next w:val="Normale"/>
    <w:link w:val="TitoloCarattere"/>
    <w:uiPriority w:val="10"/>
    <w:qFormat/>
    <w:rsid w:val="00276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7635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7635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7635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7635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76350"/>
    <w:rPr>
      <w:i/>
      <w:iCs/>
      <w:color w:val="404040" w:themeColor="text1" w:themeTint="BF"/>
    </w:rPr>
  </w:style>
  <w:style w:type="paragraph" w:styleId="Paragrafoelenco">
    <w:name w:val="List Paragraph"/>
    <w:basedOn w:val="Normale"/>
    <w:uiPriority w:val="34"/>
    <w:qFormat/>
    <w:rsid w:val="00276350"/>
    <w:pPr>
      <w:ind w:left="720"/>
      <w:contextualSpacing/>
    </w:pPr>
  </w:style>
  <w:style w:type="character" w:styleId="Enfasiintensa">
    <w:name w:val="Intense Emphasis"/>
    <w:basedOn w:val="Carpredefinitoparagrafo"/>
    <w:uiPriority w:val="21"/>
    <w:qFormat/>
    <w:rsid w:val="00276350"/>
    <w:rPr>
      <w:i/>
      <w:iCs/>
      <w:color w:val="0F4761" w:themeColor="accent1" w:themeShade="BF"/>
    </w:rPr>
  </w:style>
  <w:style w:type="paragraph" w:styleId="Citazioneintensa">
    <w:name w:val="Intense Quote"/>
    <w:basedOn w:val="Normale"/>
    <w:next w:val="Normale"/>
    <w:link w:val="CitazioneintensaCarattere"/>
    <w:uiPriority w:val="30"/>
    <w:qFormat/>
    <w:rsid w:val="002763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76350"/>
    <w:rPr>
      <w:i/>
      <w:iCs/>
      <w:color w:val="0F4761" w:themeColor="accent1" w:themeShade="BF"/>
    </w:rPr>
  </w:style>
  <w:style w:type="character" w:styleId="Riferimentointenso">
    <w:name w:val="Intense Reference"/>
    <w:basedOn w:val="Carpredefinitoparagrafo"/>
    <w:uiPriority w:val="32"/>
    <w:qFormat/>
    <w:rsid w:val="002763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fontTable" Target="fontTable.xml"/><Relationship Id="rId5" Type="http://schemas.openxmlformats.org/officeDocument/2006/relationships/image" Target="media/image1.emf"/><Relationship Id="rId15" Type="http://schemas.openxmlformats.org/officeDocument/2006/relationships/customXml" Target="../customXml/item3.xml"/><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customXml" Target="../customXml/item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6052FA-DEDA-4A36-A5A9-B55319C46624}"/>
</file>

<file path=customXml/itemProps2.xml><?xml version="1.0" encoding="utf-8"?>
<ds:datastoreItem xmlns:ds="http://schemas.openxmlformats.org/officeDocument/2006/customXml" ds:itemID="{2F501F64-5523-446D-8F44-40E38AF7DFF2}"/>
</file>

<file path=customXml/itemProps3.xml><?xml version="1.0" encoding="utf-8"?>
<ds:datastoreItem xmlns:ds="http://schemas.openxmlformats.org/officeDocument/2006/customXml" ds:itemID="{D5DD6BC0-FE08-4879-A2B1-EC25DE8B9FB3}"/>
</file>

<file path=docProps/app.xml><?xml version="1.0" encoding="utf-8"?>
<Properties xmlns="http://schemas.openxmlformats.org/officeDocument/2006/extended-properties" xmlns:vt="http://schemas.openxmlformats.org/officeDocument/2006/docPropsVTypes">
  <Template>Normal</Template>
  <TotalTime>160</TotalTime>
  <Pages>5</Pages>
  <Words>1339</Words>
  <Characters>7633</Characters>
  <Application>Microsoft Office Word</Application>
  <DocSecurity>0</DocSecurity>
  <Lines>63</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Gabriele Musazzi</dc:creator>
  <cp:keywords/>
  <dc:description/>
  <cp:lastModifiedBy>Gabriele Musazzi</cp:lastModifiedBy>
  <cp:revision>5</cp:revision>
  <dcterms:created xsi:type="dcterms:W3CDTF">2026-03-04T13:45:00Z</dcterms:created>
  <dcterms:modified xsi:type="dcterms:W3CDTF">2026-03-04T16:25:00Z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ies>
</file>