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17C19" w14:textId="77777777" w:rsidR="006023A7" w:rsidRPr="006023A7" w:rsidRDefault="006023A7" w:rsidP="006023A7">
      <w:pPr>
        <w:jc w:val="both"/>
        <w:rPr>
          <w:b/>
          <w:bCs/>
        </w:rPr>
      </w:pPr>
      <w:r w:rsidRPr="006023A7">
        <w:rPr>
          <w:b/>
          <w:bCs/>
        </w:rPr>
        <w:t>Assegnazione agevolata dei beni ai soci: disciplina fiscale, valutazione della convenienza e strumenti operativi per il professionista</w:t>
      </w:r>
    </w:p>
    <w:p w14:paraId="25E2B089" w14:textId="77777777" w:rsidR="006023A7" w:rsidRPr="006023A7" w:rsidRDefault="006023A7" w:rsidP="006023A7">
      <w:pPr>
        <w:jc w:val="both"/>
        <w:rPr>
          <w:b/>
          <w:bCs/>
        </w:rPr>
      </w:pPr>
      <w:r w:rsidRPr="006023A7">
        <w:rPr>
          <w:b/>
          <w:bCs/>
        </w:rPr>
        <w:t>Introduzione</w:t>
      </w:r>
    </w:p>
    <w:p w14:paraId="049B4F5D" w14:textId="77777777" w:rsidR="006023A7" w:rsidRPr="006023A7" w:rsidRDefault="006023A7" w:rsidP="006023A7">
      <w:pPr>
        <w:jc w:val="both"/>
      </w:pPr>
      <w:r w:rsidRPr="006023A7">
        <w:t>Nel corso della vita di una società non è raro che il patrimonio aziendale si arricchisca di beni che, con il passare del tempo, cessano di essere effettivamente funzionali allo svolgimento dell’attività d’impresa. Si tratta molto spesso di immobili acquistati in passato per esigenze operative oppure di beni detenuti come investimento patrimoniale che nel tempo perdono la propria utilità strategica. In altri casi ancora si tratta di cespiti che, pur essendo stati inizialmente utilizzati nell’attività aziendale, vengono progressivamente sostituiti o diventano marginali rispetto al core business della società.</w:t>
      </w:r>
    </w:p>
    <w:p w14:paraId="55406339" w14:textId="77777777" w:rsidR="006023A7" w:rsidRPr="006023A7" w:rsidRDefault="006023A7" w:rsidP="006023A7">
      <w:pPr>
        <w:jc w:val="both"/>
      </w:pPr>
      <w:r w:rsidRPr="006023A7">
        <w:t>Questo fenomeno è particolarmente diffuso nelle piccole e medie imprese italiane, nelle quali il patrimonio immobiliare della società tende frequentemente a sovrapporsi agli investimenti personali dei soci. Nel corso degli anni si crea così una situazione nella quale all’interno del patrimonio societario convivono beni realmente funzionali all’attività produttiva e beni che, in realtà, potrebbero essere detenuti direttamente dai soci senza alcun impatto sull’operatività dell’impresa.</w:t>
      </w:r>
    </w:p>
    <w:p w14:paraId="222B63A4" w14:textId="77777777" w:rsidR="006023A7" w:rsidRPr="006023A7" w:rsidRDefault="006023A7" w:rsidP="006023A7">
      <w:pPr>
        <w:jc w:val="both"/>
      </w:pPr>
      <w:r w:rsidRPr="006023A7">
        <w:t>In questi contesti l’assegnazione dei beni ai soci rappresenta uno strumento particolarmente efficace per razionalizzare la struttura patrimoniale della società. Attraverso questa operazione determinati beni possono essere trasferiti dal patrimonio della società a quello personale dei soci, consentendo di separare gli investimenti personali dall’attività imprenditoriale e di rendere più trasparente la struttura patrimoniale dell’impresa.</w:t>
      </w:r>
    </w:p>
    <w:p w14:paraId="759A4D90" w14:textId="77777777" w:rsidR="006023A7" w:rsidRPr="006023A7" w:rsidRDefault="006023A7" w:rsidP="006023A7">
      <w:pPr>
        <w:jc w:val="both"/>
      </w:pPr>
      <w:r w:rsidRPr="006023A7">
        <w:t>Dal punto di vista fiscale, tuttavia, l’assegnazione dei beni ai soci presenta profili di complessità che devono essere attentamente valutati. In regime ordinario il trasferimento di un bene genera infatti una plusvalenza imponibile pari alla differenza tra il valore normale del bene e il valore fiscalmente riconosciuto. Tale plusvalenza concorre alla formazione del reddito d’impresa e viene quindi assoggettata alla tassazione ordinaria ai fini delle imposte sui redditi.</w:t>
      </w:r>
    </w:p>
    <w:p w14:paraId="3B9E75FD" w14:textId="77777777" w:rsidR="006023A7" w:rsidRPr="006023A7" w:rsidRDefault="006023A7" w:rsidP="006023A7">
      <w:pPr>
        <w:jc w:val="both"/>
      </w:pPr>
      <w:r w:rsidRPr="006023A7">
        <w:t>Proprio per favorire operazioni di riorganizzazione patrimoniale, il legislatore ha più volte introdotto nel corso degli anni specifiche discipline agevolative che consentono di effettuare l’assegnazione applicando un’imposta sostitutiva significativamente inferiore rispetto alla tassazione ordinaria. L’utilizzo di queste misure può risultare particolarmente conveniente, soprattutto nei casi in cui il valore fiscale dei beni sia molto inferiore al loro valore di mercato.</w:t>
      </w:r>
    </w:p>
    <w:p w14:paraId="1AED1BB8" w14:textId="07A9A594" w:rsidR="006023A7" w:rsidRPr="006023A7" w:rsidRDefault="006023A7" w:rsidP="006023A7">
      <w:pPr>
        <w:jc w:val="both"/>
      </w:pPr>
      <w:r w:rsidRPr="006023A7">
        <w:t>In questo contesto il ruolo del professionista assume un’importanza centrale. La valutazione della convenienza dell’operazione non può infatti essere effettuata in modo approssimativo, ma richiede un’analisi approfondita delle variabili fiscali e patrimoniali coinvolte.</w:t>
      </w:r>
    </w:p>
    <w:p w14:paraId="154D2967" w14:textId="77777777" w:rsidR="006023A7" w:rsidRPr="006023A7" w:rsidRDefault="006023A7" w:rsidP="006023A7">
      <w:pPr>
        <w:jc w:val="both"/>
        <w:rPr>
          <w:b/>
          <w:bCs/>
        </w:rPr>
      </w:pPr>
      <w:r w:rsidRPr="006023A7">
        <w:rPr>
          <w:b/>
          <w:bCs/>
        </w:rPr>
        <w:t>La logica economica dell’assegnazione dei beni ai soci</w:t>
      </w:r>
    </w:p>
    <w:p w14:paraId="4C3A19CD" w14:textId="77777777" w:rsidR="006023A7" w:rsidRPr="006023A7" w:rsidRDefault="006023A7" w:rsidP="006023A7">
      <w:pPr>
        <w:jc w:val="both"/>
      </w:pPr>
      <w:r w:rsidRPr="006023A7">
        <w:t>Dal punto di vista economico, l’assegnazione dei beni ai soci consiste in un trasferimento patrimoniale mediante il quale un bene esce dal patrimonio della società ed entra direttamente nel patrimonio personale dei soci. L’operazione si realizza generalmente attraverso una riduzione del patrimonio netto della società, che può avvenire mediante l’utilizzo di utili o riserve disponibili.</w:t>
      </w:r>
    </w:p>
    <w:p w14:paraId="6BFCAEF4" w14:textId="77777777" w:rsidR="006023A7" w:rsidRPr="006023A7" w:rsidRDefault="006023A7" w:rsidP="006023A7">
      <w:pPr>
        <w:jc w:val="both"/>
      </w:pPr>
      <w:r w:rsidRPr="006023A7">
        <w:t>Quando il bene viene assegnato, la società riduce il proprio patrimonio netto per un importo pari al valore attribuito al bene stesso. Contestualmente il socio diventa proprietario del bene e può gestirlo direttamente, senza che esso rimanga all’interno della struttura societaria.</w:t>
      </w:r>
    </w:p>
    <w:p w14:paraId="57D0AC8B" w14:textId="77777777" w:rsidR="006023A7" w:rsidRPr="006023A7" w:rsidRDefault="006023A7" w:rsidP="006023A7">
      <w:pPr>
        <w:jc w:val="both"/>
      </w:pPr>
      <w:r w:rsidRPr="006023A7">
        <w:t xml:space="preserve">Le motivazioni che possono portare all’assegnazione sono molteplici. In alcuni casi i soci desiderano detenere direttamente determinati immobili che non risultano più funzionali all’attività aziendale. In altri casi l’operazione rappresenta un passaggio preliminare di una più ampia riorganizzazione </w:t>
      </w:r>
      <w:r w:rsidRPr="006023A7">
        <w:lastRenderedPageBreak/>
        <w:t>societaria, ad esempio in vista della trasformazione della società in società semplice oppure della liquidazione della stessa.</w:t>
      </w:r>
    </w:p>
    <w:p w14:paraId="4C2AF4D8" w14:textId="04F44620" w:rsidR="006023A7" w:rsidRPr="006023A7" w:rsidRDefault="006023A7" w:rsidP="006023A7">
      <w:pPr>
        <w:jc w:val="both"/>
      </w:pPr>
      <w:r w:rsidRPr="006023A7">
        <w:t>Dal punto di vista gestionale, l’assegnazione consente inoltre di rendere più chiara la struttura patrimoniale dell’impresa, separando gli asset destinati all’attività produttiva dagli investimenti di natura patrimoniale.</w:t>
      </w:r>
    </w:p>
    <w:p w14:paraId="26FFE6CD" w14:textId="77777777" w:rsidR="006023A7" w:rsidRPr="006023A7" w:rsidRDefault="006023A7" w:rsidP="006023A7">
      <w:pPr>
        <w:jc w:val="both"/>
        <w:rPr>
          <w:b/>
          <w:bCs/>
        </w:rPr>
      </w:pPr>
      <w:r w:rsidRPr="006023A7">
        <w:rPr>
          <w:b/>
          <w:bCs/>
        </w:rPr>
        <w:t>Il meccanismo dell’imposta sostitutiva</w:t>
      </w:r>
    </w:p>
    <w:p w14:paraId="42460244" w14:textId="77777777" w:rsidR="006023A7" w:rsidRPr="006023A7" w:rsidRDefault="006023A7" w:rsidP="006023A7">
      <w:pPr>
        <w:jc w:val="both"/>
      </w:pPr>
      <w:r w:rsidRPr="006023A7">
        <w:t>Nel regime ordinario, il trasferimento di un bene ai soci genera una plusvalenza imponibile pari alla differenza tra il valore normale del bene e il valore fiscalmente riconosciuto. Tale plusvalenza concorre alla formazione del reddito d’impresa ed è soggetta alla tassazione ordinaria.</w:t>
      </w:r>
    </w:p>
    <w:p w14:paraId="12D1C299" w14:textId="77777777" w:rsidR="006023A7" w:rsidRPr="006023A7" w:rsidRDefault="006023A7" w:rsidP="006023A7">
      <w:pPr>
        <w:jc w:val="both"/>
      </w:pPr>
      <w:r w:rsidRPr="006023A7">
        <w:t>La disciplina agevolativa introduce invece un meccanismo diverso, basato sull’applicazione di un’imposta sostitutiva. Questa imposta sostituisce la tassazione ordinaria delle plusvalenze e viene applicata sulla differenza tra il valore normale del bene e il valore fiscale dello stesso.</w:t>
      </w:r>
    </w:p>
    <w:p w14:paraId="14231D89" w14:textId="77777777" w:rsidR="006023A7" w:rsidRPr="006023A7" w:rsidRDefault="006023A7" w:rsidP="006023A7">
      <w:pPr>
        <w:jc w:val="both"/>
      </w:pPr>
      <w:r w:rsidRPr="006023A7">
        <w:t>Le aliquote previste sono pari all’8 per cento per le società operative e al 10,5 per cento per le società non operative. Nel caso in cui l’operazione comporti l’annullamento di riserve in sospensione d’imposta è prevista inoltre un’ulteriore imposta sostitutiva pari al 13 per cento.</w:t>
      </w:r>
    </w:p>
    <w:p w14:paraId="42A3850B" w14:textId="00BE791A" w:rsidR="006023A7" w:rsidRPr="006023A7" w:rsidRDefault="006023A7" w:rsidP="006023A7">
      <w:pPr>
        <w:jc w:val="both"/>
      </w:pPr>
      <w:r w:rsidRPr="006023A7">
        <w:t>Nel caso degli immobili la normativa consente inoltre di utilizzare il valore catastale in luogo del valore normale. Questo meccanismo può incidere significativamente sulla convenienza dell’operazione, soprattutto nei casi in cui il valore catastale risulti inferiore al valore di mercato.</w:t>
      </w:r>
    </w:p>
    <w:p w14:paraId="1633D196" w14:textId="77777777" w:rsidR="006023A7" w:rsidRPr="006023A7" w:rsidRDefault="006023A7" w:rsidP="006023A7">
      <w:pPr>
        <w:jc w:val="both"/>
        <w:rPr>
          <w:b/>
          <w:bCs/>
        </w:rPr>
      </w:pPr>
      <w:r w:rsidRPr="006023A7">
        <w:rPr>
          <w:b/>
          <w:bCs/>
        </w:rPr>
        <w:t>La necessità di una valutazione preventiva</w:t>
      </w:r>
    </w:p>
    <w:p w14:paraId="5CFC321F" w14:textId="77777777" w:rsidR="006023A7" w:rsidRPr="006023A7" w:rsidRDefault="006023A7" w:rsidP="006023A7">
      <w:pPr>
        <w:jc w:val="both"/>
      </w:pPr>
      <w:r w:rsidRPr="006023A7">
        <w:t>Nonostante il regime agevolato renda spesso conveniente l’assegnazione dei beni ai soci, la valutazione dell’operazione richiede un’analisi preventiva accurata.</w:t>
      </w:r>
    </w:p>
    <w:p w14:paraId="521BA5CE" w14:textId="77777777" w:rsidR="006023A7" w:rsidRPr="006023A7" w:rsidRDefault="006023A7" w:rsidP="006023A7">
      <w:pPr>
        <w:jc w:val="both"/>
      </w:pPr>
      <w:r w:rsidRPr="006023A7">
        <w:t>Il professionista deve infatti considerare numerosi elementi: il valore fiscale del bene, il valore catastale o di mercato, la struttura del patrimonio netto della società, la posizione fiscale dei soci e il trattamento delle imposte indirette.</w:t>
      </w:r>
    </w:p>
    <w:p w14:paraId="09B4A1D0" w14:textId="77777777" w:rsidR="006023A7" w:rsidRPr="006023A7" w:rsidRDefault="006023A7" w:rsidP="006023A7">
      <w:pPr>
        <w:jc w:val="both"/>
      </w:pPr>
      <w:r w:rsidRPr="006023A7">
        <w:t>Inoltre, nel caso degli immobili acquistati con detrazione dell’IVA, l’assegnazione può comportare l’obbligo di rettifica della detrazione ai sensi dell’articolo 19-bis2 del DPR 633/1972.</w:t>
      </w:r>
    </w:p>
    <w:p w14:paraId="14241030" w14:textId="61E5F133" w:rsidR="006023A7" w:rsidRPr="006023A7" w:rsidRDefault="006023A7" w:rsidP="006023A7">
      <w:pPr>
        <w:jc w:val="both"/>
      </w:pPr>
      <w:r w:rsidRPr="006023A7">
        <w:t>Proprio per la presenza di tutte queste variabili la valutazione della convenienza dell’operazione richiede spesso numerose simulazioni.</w:t>
      </w:r>
    </w:p>
    <w:p w14:paraId="468DCEB0" w14:textId="77777777" w:rsidR="006023A7" w:rsidRPr="006023A7" w:rsidRDefault="006023A7" w:rsidP="006023A7">
      <w:pPr>
        <w:jc w:val="both"/>
        <w:rPr>
          <w:b/>
          <w:bCs/>
        </w:rPr>
      </w:pPr>
      <w:r w:rsidRPr="006023A7">
        <w:rPr>
          <w:b/>
          <w:bCs/>
        </w:rPr>
        <w:t>Il supporto operativo di un tool di simulazione</w:t>
      </w:r>
    </w:p>
    <w:p w14:paraId="493F1A31" w14:textId="77777777" w:rsidR="006023A7" w:rsidRPr="006023A7" w:rsidRDefault="006023A7" w:rsidP="006023A7">
      <w:pPr>
        <w:jc w:val="both"/>
      </w:pPr>
      <w:r w:rsidRPr="006023A7">
        <w:t>Per facilitare l’analisi dell’assegnazione dei beni ai soci è stato sviluppato un tool Excel dedicato alla simulazione dell’operazione. Lo strumento consente al professionista di inserire i dati rilevanti e di ottenere automaticamente il calcolo delle imposte dovute.</w:t>
      </w:r>
    </w:p>
    <w:p w14:paraId="14DCA4FE" w14:textId="77777777" w:rsidR="006023A7" w:rsidRPr="006023A7" w:rsidRDefault="006023A7" w:rsidP="006023A7">
      <w:pPr>
        <w:jc w:val="both"/>
      </w:pPr>
      <w:r w:rsidRPr="006023A7">
        <w:t>La schermata iniziale del tool è dedicata all’inserimento dei dati dello studio professionale e del cliente.</w:t>
      </w:r>
    </w:p>
    <w:p w14:paraId="6F204F9B" w14:textId="53BD6446" w:rsidR="00406BC7" w:rsidRDefault="00406BC7" w:rsidP="006023A7">
      <w:pPr>
        <w:jc w:val="both"/>
        <w:rPr>
          <w:rFonts w:ascii="Segoe UI Emoji" w:hAnsi="Segoe UI Emoji" w:cs="Segoe UI Emoji"/>
        </w:rPr>
      </w:pPr>
      <w:r w:rsidRPr="00406BC7">
        <w:rPr>
          <w:noProof/>
        </w:rPr>
        <w:lastRenderedPageBreak/>
        <w:drawing>
          <wp:inline distT="0" distB="0" distL="0" distR="0" wp14:anchorId="6F220130" wp14:editId="6DF55455">
            <wp:extent cx="6120130" cy="3947160"/>
            <wp:effectExtent l="0" t="0" r="0" b="0"/>
            <wp:docPr id="190188625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0130" cy="3947160"/>
                    </a:xfrm>
                    <a:prstGeom prst="rect">
                      <a:avLst/>
                    </a:prstGeom>
                    <a:noFill/>
                    <a:ln>
                      <a:noFill/>
                    </a:ln>
                  </pic:spPr>
                </pic:pic>
              </a:graphicData>
            </a:graphic>
          </wp:inline>
        </w:drawing>
      </w:r>
    </w:p>
    <w:p w14:paraId="28308EAC" w14:textId="4D63221B" w:rsidR="006023A7" w:rsidRPr="006023A7" w:rsidRDefault="006023A7" w:rsidP="006023A7">
      <w:pPr>
        <w:jc w:val="both"/>
      </w:pPr>
      <w:r w:rsidRPr="006023A7">
        <w:t>Questa impostazione consente di identificare chiaramente la simulazione effettuata e di utilizzare il file come supporto nella presentazione dell’analisi al cliente.</w:t>
      </w:r>
    </w:p>
    <w:p w14:paraId="401434CC" w14:textId="77777777" w:rsidR="006023A7" w:rsidRPr="006023A7" w:rsidRDefault="006023A7" w:rsidP="006023A7">
      <w:pPr>
        <w:jc w:val="both"/>
        <w:rPr>
          <w:b/>
          <w:bCs/>
        </w:rPr>
      </w:pPr>
      <w:r w:rsidRPr="006023A7">
        <w:rPr>
          <w:b/>
          <w:bCs/>
        </w:rPr>
        <w:t>L’inserimento dei dati della società</w:t>
      </w:r>
    </w:p>
    <w:p w14:paraId="623A5A83" w14:textId="77777777" w:rsidR="006023A7" w:rsidRPr="006023A7" w:rsidRDefault="006023A7" w:rsidP="006023A7">
      <w:pPr>
        <w:jc w:val="both"/>
      </w:pPr>
      <w:r w:rsidRPr="006023A7">
        <w:t>Dopo la schermata iniziale dedicata all’identificazione dello studio professionale e del cliente, il tool prevede una sezione specificamente dedicata all’inserimento dei dati patrimoniali della società. Questa fase rappresenta un passaggio fondamentale dell’analisi, poiché consente di definire con precisione la situazione di partenza prima dell’operazione di assegnazione.</w:t>
      </w:r>
    </w:p>
    <w:p w14:paraId="73AF482D" w14:textId="77777777" w:rsidR="006023A7" w:rsidRPr="006023A7" w:rsidRDefault="006023A7" w:rsidP="006023A7">
      <w:pPr>
        <w:jc w:val="both"/>
      </w:pPr>
      <w:r w:rsidRPr="006023A7">
        <w:t>In questa sezione il professionista può indicare le principali voci del patrimonio netto, tra cui il capitale sociale, le riserve di utili e le riserve di capitale. La corretta individuazione di tali elementi è essenziale per comprendere quali risorse patrimoniali possano essere utilizzate per realizzare l’assegnazione del bene.</w:t>
      </w:r>
    </w:p>
    <w:p w14:paraId="522D1948" w14:textId="6D97B0DD" w:rsidR="006023A7" w:rsidRPr="006023A7" w:rsidRDefault="00406BC7" w:rsidP="006023A7">
      <w:pPr>
        <w:jc w:val="both"/>
      </w:pPr>
      <w:r w:rsidRPr="00406BC7">
        <w:rPr>
          <w:noProof/>
        </w:rPr>
        <w:drawing>
          <wp:inline distT="0" distB="0" distL="0" distR="0" wp14:anchorId="35DC01AF" wp14:editId="38C4CBC3">
            <wp:extent cx="6120130" cy="1591310"/>
            <wp:effectExtent l="0" t="0" r="0" b="8890"/>
            <wp:docPr id="126538129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0130" cy="1591310"/>
                    </a:xfrm>
                    <a:prstGeom prst="rect">
                      <a:avLst/>
                    </a:prstGeom>
                    <a:noFill/>
                    <a:ln>
                      <a:noFill/>
                    </a:ln>
                  </pic:spPr>
                </pic:pic>
              </a:graphicData>
            </a:graphic>
          </wp:inline>
        </w:drawing>
      </w:r>
      <w:r w:rsidR="006023A7" w:rsidRPr="006023A7">
        <w:t>Attraverso queste informazioni il sistema è in grado di simulare l’effetto dell’operazione sul patrimonio netto della società. In particolare, il tool evidenzia automaticamente l’impatto della riduzione delle riserve utilizzate per l’assegnazione e consente di verificare se la struttura patrimoniale rimane coerente con gli equilibri economico-finanziari dell’impresa.</w:t>
      </w:r>
    </w:p>
    <w:p w14:paraId="6EF2681F" w14:textId="0658F619" w:rsidR="006023A7" w:rsidRPr="006023A7" w:rsidRDefault="006023A7" w:rsidP="006023A7">
      <w:pPr>
        <w:jc w:val="both"/>
      </w:pPr>
      <w:r w:rsidRPr="006023A7">
        <w:lastRenderedPageBreak/>
        <w:t>Questo passaggio è particolarmente importante perché l’assegnazione dei beni ai soci non rappresenta soltanto un’operazione fiscale, ma incide direttamente sulla struttura patrimoniale della società e, di conseguenza, sulla sua capacità di sostenere l’attività economica.</w:t>
      </w:r>
    </w:p>
    <w:p w14:paraId="649169A4" w14:textId="77777777" w:rsidR="006023A7" w:rsidRPr="006023A7" w:rsidRDefault="006023A7" w:rsidP="006023A7">
      <w:pPr>
        <w:jc w:val="both"/>
        <w:rPr>
          <w:b/>
          <w:bCs/>
        </w:rPr>
      </w:pPr>
      <w:r w:rsidRPr="006023A7">
        <w:rPr>
          <w:b/>
          <w:bCs/>
        </w:rPr>
        <w:t>L’inserimento dei soci e delle quote di partecipazione</w:t>
      </w:r>
    </w:p>
    <w:p w14:paraId="398EA680" w14:textId="77777777" w:rsidR="006023A7" w:rsidRPr="006023A7" w:rsidRDefault="006023A7" w:rsidP="006023A7">
      <w:pPr>
        <w:jc w:val="both"/>
      </w:pPr>
      <w:r w:rsidRPr="006023A7">
        <w:t>Una volta definita la situazione patrimoniale della società, il tool consente di inserire i dati relativi ai soci. Questa sezione permette di indicare la quota di partecipazione detenuta da ciascun socio e il valore fiscalmente riconosciuto della partecipazione.</w:t>
      </w:r>
    </w:p>
    <w:p w14:paraId="14E64AF8" w14:textId="6DF027B4" w:rsidR="00406BC7" w:rsidRDefault="00406BC7" w:rsidP="006023A7">
      <w:pPr>
        <w:jc w:val="both"/>
        <w:rPr>
          <w:rFonts w:ascii="Segoe UI Emoji" w:hAnsi="Segoe UI Emoji" w:cs="Segoe UI Emoji"/>
        </w:rPr>
      </w:pPr>
      <w:r w:rsidRPr="00406BC7">
        <w:rPr>
          <w:noProof/>
        </w:rPr>
        <w:drawing>
          <wp:inline distT="0" distB="0" distL="0" distR="0" wp14:anchorId="122FA8BD" wp14:editId="7241F248">
            <wp:extent cx="6120130" cy="1403985"/>
            <wp:effectExtent l="0" t="0" r="0" b="5715"/>
            <wp:docPr id="296369215"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130" cy="1403985"/>
                    </a:xfrm>
                    <a:prstGeom prst="rect">
                      <a:avLst/>
                    </a:prstGeom>
                    <a:noFill/>
                    <a:ln>
                      <a:noFill/>
                    </a:ln>
                  </pic:spPr>
                </pic:pic>
              </a:graphicData>
            </a:graphic>
          </wp:inline>
        </w:drawing>
      </w:r>
    </w:p>
    <w:p w14:paraId="0F6A5C96" w14:textId="1DE5D342" w:rsidR="006023A7" w:rsidRPr="006023A7" w:rsidRDefault="006023A7" w:rsidP="006023A7">
      <w:pPr>
        <w:jc w:val="both"/>
      </w:pPr>
      <w:r w:rsidRPr="006023A7">
        <w:t>L’inserimento di questi dati consente al sistema di determinare automaticamente la quota di bene assegnata a ciascun socio e di simulare gli effetti fiscali dell’operazione a livello individuale.</w:t>
      </w:r>
    </w:p>
    <w:p w14:paraId="7E6EA607" w14:textId="77777777" w:rsidR="006023A7" w:rsidRPr="006023A7" w:rsidRDefault="006023A7" w:rsidP="006023A7">
      <w:pPr>
        <w:jc w:val="both"/>
      </w:pPr>
      <w:r w:rsidRPr="006023A7">
        <w:t>Questo aspetto è particolarmente rilevante perché l’assegnazione dei beni ai soci non produce effetti soltanto in capo alla società, ma può avere conseguenze fiscali anche per i soci stessi. In particolare, la tassazione del socio dipende dalla natura delle riserve utilizzate per realizzare l’operazione.</w:t>
      </w:r>
    </w:p>
    <w:p w14:paraId="6296374C" w14:textId="77777777" w:rsidR="00805F1F" w:rsidRDefault="00805F1F" w:rsidP="006023A7">
      <w:pPr>
        <w:jc w:val="both"/>
      </w:pPr>
      <w:r>
        <w:t>Se l’assegnazione avviene utilizzando riserve di capitale, generalmente non si genera un’imposizione immediata in capo al socio. Diversamente, se l’operazione comporta l’utilizzo di utili, la quota di utili distribuiti può essere assoggettata alla tassazione prevista per i dividendi.</w:t>
      </w:r>
    </w:p>
    <w:p w14:paraId="5D3CA202" w14:textId="500ECB33" w:rsidR="006023A7" w:rsidRPr="006023A7" w:rsidRDefault="006023A7" w:rsidP="006023A7">
      <w:pPr>
        <w:jc w:val="both"/>
        <w:rPr>
          <w:b/>
          <w:bCs/>
        </w:rPr>
      </w:pPr>
      <w:r w:rsidRPr="006023A7">
        <w:rPr>
          <w:b/>
          <w:bCs/>
        </w:rPr>
        <w:t>L’inserimento dei dati della società</w:t>
      </w:r>
    </w:p>
    <w:p w14:paraId="7A1FFED7" w14:textId="77777777" w:rsidR="006023A7" w:rsidRPr="006023A7" w:rsidRDefault="006023A7" w:rsidP="006023A7">
      <w:pPr>
        <w:jc w:val="both"/>
      </w:pPr>
      <w:r w:rsidRPr="006023A7">
        <w:t>Dopo la schermata iniziale dedicata all’identificazione dello studio professionale e del cliente, il tool prevede una sezione specificamente dedicata all’inserimento dei dati patrimoniali della società. Questa fase rappresenta un passaggio fondamentale dell’analisi, poiché consente di definire con precisione la situazione di partenza prima dell’operazione di assegnazione.</w:t>
      </w:r>
    </w:p>
    <w:p w14:paraId="6CA7F08D" w14:textId="00168CFD" w:rsidR="00406BC7" w:rsidRPr="00805F1F" w:rsidRDefault="006023A7" w:rsidP="006023A7">
      <w:pPr>
        <w:jc w:val="both"/>
      </w:pPr>
      <w:r w:rsidRPr="006023A7">
        <w:t>In questa sezione il professionista può indicare le principali voci del patrimonio netto, tra cui il capitale sociale, le riserve di utili e le riserve di capitale. La corretta individuazione di tali elementi è essenziale per comprendere quali risorse patrimoniali possano essere utilizzate per realizzare l’assegnazione del bene.</w:t>
      </w:r>
    </w:p>
    <w:p w14:paraId="30E931A4" w14:textId="66F8AA3E" w:rsidR="006023A7" w:rsidRPr="006023A7" w:rsidRDefault="006023A7" w:rsidP="006023A7">
      <w:pPr>
        <w:jc w:val="both"/>
      </w:pPr>
      <w:r w:rsidRPr="006023A7">
        <w:t>Attraverso queste informazioni il sistema è in grado di simulare l’effetto dell’operazione sul patrimonio netto della società. In particolare, il tool evidenzia automaticamente l’impatto della riduzione delle riserve utilizzate per l’assegnazione e consente di verificare se la struttura patrimoniale rimane coerente con gli equilibri economico-finanziari dell’impresa.</w:t>
      </w:r>
    </w:p>
    <w:p w14:paraId="3B4C0F0C" w14:textId="02235339" w:rsidR="00406BC7" w:rsidRPr="006023A7" w:rsidRDefault="006023A7" w:rsidP="006023A7">
      <w:pPr>
        <w:jc w:val="both"/>
      </w:pPr>
      <w:r w:rsidRPr="006023A7">
        <w:t>Questo passaggio è particolarmente importante perché l’assegnazione dei beni ai soci non rappresenta soltanto un’operazione fiscale, ma incide direttamente sulla struttura patrimoniale della società e, di conseguenza, sulla sua capacità di sostenere l’attività economica</w:t>
      </w:r>
    </w:p>
    <w:p w14:paraId="68817A38" w14:textId="77777777" w:rsidR="006023A7" w:rsidRPr="006023A7" w:rsidRDefault="006023A7" w:rsidP="006023A7">
      <w:pPr>
        <w:jc w:val="both"/>
        <w:rPr>
          <w:b/>
          <w:bCs/>
        </w:rPr>
      </w:pPr>
      <w:r w:rsidRPr="006023A7">
        <w:rPr>
          <w:b/>
          <w:bCs/>
        </w:rPr>
        <w:t>L’inserimento dei soci e delle quote di partecipazione</w:t>
      </w:r>
    </w:p>
    <w:p w14:paraId="4A3AB1FA" w14:textId="77777777" w:rsidR="006023A7" w:rsidRPr="006023A7" w:rsidRDefault="006023A7" w:rsidP="006023A7">
      <w:pPr>
        <w:jc w:val="both"/>
      </w:pPr>
      <w:r w:rsidRPr="006023A7">
        <w:lastRenderedPageBreak/>
        <w:t>Una volta definita la situazione patrimoniale della società, il tool consente di inserire i dati relativi ai soci. Questa sezione permette di indicare la quota di partecipazione detenuta da ciascun socio e il valore fiscalmente riconosciuto della partecipazione.</w:t>
      </w:r>
    </w:p>
    <w:p w14:paraId="45FD2507" w14:textId="345FB92E" w:rsidR="00406BC7" w:rsidRDefault="00406BC7" w:rsidP="006023A7">
      <w:pPr>
        <w:jc w:val="both"/>
        <w:rPr>
          <w:rFonts w:ascii="Segoe UI Emoji" w:hAnsi="Segoe UI Emoji" w:cs="Segoe UI Emoji"/>
        </w:rPr>
      </w:pPr>
    </w:p>
    <w:p w14:paraId="1E600178" w14:textId="203C57B3" w:rsidR="006023A7" w:rsidRPr="006023A7" w:rsidRDefault="006023A7" w:rsidP="006023A7">
      <w:pPr>
        <w:jc w:val="both"/>
      </w:pPr>
      <w:r w:rsidRPr="006023A7">
        <w:t>L’inserimento di questi dati consente al sistema di determinare automaticamente la quota di bene assegnata a ciascun socio e di simulare gli effetti fiscali dell’operazione a livello individuale.</w:t>
      </w:r>
    </w:p>
    <w:p w14:paraId="64250FF7" w14:textId="77777777" w:rsidR="006023A7" w:rsidRPr="006023A7" w:rsidRDefault="006023A7" w:rsidP="006023A7">
      <w:pPr>
        <w:jc w:val="both"/>
      </w:pPr>
      <w:r w:rsidRPr="006023A7">
        <w:t>Questo aspetto è particolarmente rilevante perché l’assegnazione dei beni ai soci non produce effetti soltanto in capo alla società, ma può avere conseguenze fiscali anche per i soci stessi. In particolare, la tassazione del socio dipende dalla natura delle riserve utilizzate per realizzare l’operazione.</w:t>
      </w:r>
    </w:p>
    <w:p w14:paraId="128FD353" w14:textId="6B10FE4F" w:rsidR="006023A7" w:rsidRPr="006023A7" w:rsidRDefault="006023A7" w:rsidP="006023A7">
      <w:pPr>
        <w:jc w:val="both"/>
      </w:pPr>
      <w:r w:rsidRPr="006023A7">
        <w:t>Se l’assegnazione avviene utilizzando riserve di capitale, generalmente non si genera un’imposizione immediata in capo al socio. Diversamente, se l’operazione comporta l’utilizzo di utili, la quota di utili distribuiti può essere assoggettata alla tassazione prevista per i dividendi.</w:t>
      </w:r>
    </w:p>
    <w:p w14:paraId="32AAD292" w14:textId="77777777" w:rsidR="006023A7" w:rsidRPr="006023A7" w:rsidRDefault="006023A7" w:rsidP="006023A7">
      <w:pPr>
        <w:jc w:val="both"/>
        <w:rPr>
          <w:b/>
          <w:bCs/>
        </w:rPr>
      </w:pPr>
      <w:r w:rsidRPr="006023A7">
        <w:rPr>
          <w:b/>
          <w:bCs/>
        </w:rPr>
        <w:t>L’inserimento dei beni oggetto di assegnazione</w:t>
      </w:r>
    </w:p>
    <w:p w14:paraId="5E5D0673" w14:textId="77777777" w:rsidR="006023A7" w:rsidRPr="006023A7" w:rsidRDefault="006023A7" w:rsidP="006023A7">
      <w:pPr>
        <w:jc w:val="both"/>
      </w:pPr>
      <w:r w:rsidRPr="006023A7">
        <w:t>Una delle sezioni più importanti del tool riguarda la descrizione dei beni che si intende assegnare ai soci. Per ciascun bene il professionista può inserire una serie di informazioni fondamentali ai fini dell’analisi fiscale.</w:t>
      </w:r>
    </w:p>
    <w:p w14:paraId="2E1D2E3D" w14:textId="05F8FE2F" w:rsidR="006023A7" w:rsidRPr="006023A7" w:rsidRDefault="006023A7" w:rsidP="006023A7">
      <w:pPr>
        <w:jc w:val="both"/>
      </w:pPr>
      <w:r w:rsidRPr="006023A7">
        <w:t>Tra i dati richiesti dal sistema vi sono:</w:t>
      </w:r>
    </w:p>
    <w:p w14:paraId="3083B041" w14:textId="77777777" w:rsidR="006023A7" w:rsidRPr="006023A7" w:rsidRDefault="006023A7" w:rsidP="006023A7">
      <w:pPr>
        <w:numPr>
          <w:ilvl w:val="0"/>
          <w:numId w:val="2"/>
        </w:numPr>
        <w:jc w:val="both"/>
      </w:pPr>
      <w:r w:rsidRPr="006023A7">
        <w:t>il valore fiscale del bene;</w:t>
      </w:r>
    </w:p>
    <w:p w14:paraId="470D7C23" w14:textId="77777777" w:rsidR="006023A7" w:rsidRPr="006023A7" w:rsidRDefault="006023A7" w:rsidP="006023A7">
      <w:pPr>
        <w:numPr>
          <w:ilvl w:val="0"/>
          <w:numId w:val="2"/>
        </w:numPr>
        <w:jc w:val="both"/>
      </w:pPr>
      <w:r w:rsidRPr="006023A7">
        <w:t>il valore catastale;</w:t>
      </w:r>
    </w:p>
    <w:p w14:paraId="6B603257" w14:textId="77777777" w:rsidR="006023A7" w:rsidRPr="006023A7" w:rsidRDefault="006023A7" w:rsidP="006023A7">
      <w:pPr>
        <w:numPr>
          <w:ilvl w:val="0"/>
          <w:numId w:val="2"/>
        </w:numPr>
        <w:jc w:val="both"/>
      </w:pPr>
      <w:r w:rsidRPr="006023A7">
        <w:t>il valore normale o di mercato;</w:t>
      </w:r>
    </w:p>
    <w:p w14:paraId="64781576" w14:textId="77777777" w:rsidR="006023A7" w:rsidRPr="006023A7" w:rsidRDefault="006023A7" w:rsidP="006023A7">
      <w:pPr>
        <w:numPr>
          <w:ilvl w:val="0"/>
          <w:numId w:val="2"/>
        </w:numPr>
        <w:jc w:val="both"/>
      </w:pPr>
      <w:r w:rsidRPr="006023A7">
        <w:t>l’eventuale IVA detratta al momento dell’acquisto.</w:t>
      </w:r>
    </w:p>
    <w:p w14:paraId="6DDC3265" w14:textId="77777777" w:rsidR="006023A7" w:rsidRPr="006023A7" w:rsidRDefault="006023A7" w:rsidP="006023A7">
      <w:pPr>
        <w:jc w:val="both"/>
      </w:pPr>
      <w:r w:rsidRPr="006023A7">
        <w:t>Queste informazioni permettono al tool di calcolare automaticamente la plusvalenza latente associata al bene e di determinare la base imponibile dell’imposta sostitutiva.</w:t>
      </w:r>
    </w:p>
    <w:p w14:paraId="416EE874" w14:textId="3CF9912A" w:rsidR="006023A7" w:rsidRPr="006023A7" w:rsidRDefault="00805F1F" w:rsidP="006023A7">
      <w:pPr>
        <w:jc w:val="both"/>
      </w:pPr>
      <w:r w:rsidRPr="00406BC7">
        <w:rPr>
          <w:noProof/>
        </w:rPr>
        <w:drawing>
          <wp:inline distT="0" distB="0" distL="0" distR="0" wp14:anchorId="4D42BB05" wp14:editId="0178530B">
            <wp:extent cx="6120130" cy="716280"/>
            <wp:effectExtent l="0" t="0" r="0" b="7620"/>
            <wp:docPr id="152284006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716280"/>
                    </a:xfrm>
                    <a:prstGeom prst="rect">
                      <a:avLst/>
                    </a:prstGeom>
                    <a:noFill/>
                    <a:ln>
                      <a:noFill/>
                    </a:ln>
                  </pic:spPr>
                </pic:pic>
              </a:graphicData>
            </a:graphic>
          </wp:inline>
        </w:drawing>
      </w:r>
      <w:r w:rsidR="006023A7" w:rsidRPr="006023A7">
        <w:t>Nel caso analizzato nell’esempio, il bene oggetto di assegnazione è un immobile con un valore di mercato pari a 300.000 euro e un valore fiscale pari a 220.000 euro. La differenza tra questi due valori rappresenta la plusvalenza latente che emergerà in seguito all’assegnazione.</w:t>
      </w:r>
    </w:p>
    <w:p w14:paraId="56D88B65" w14:textId="77777777" w:rsidR="006023A7" w:rsidRPr="006023A7" w:rsidRDefault="006023A7" w:rsidP="006023A7">
      <w:pPr>
        <w:jc w:val="both"/>
        <w:rPr>
          <w:b/>
          <w:bCs/>
        </w:rPr>
      </w:pPr>
      <w:r w:rsidRPr="006023A7">
        <w:rPr>
          <w:b/>
          <w:bCs/>
        </w:rPr>
        <w:t>Il riepilogo dell’operazione</w:t>
      </w:r>
    </w:p>
    <w:p w14:paraId="4C68990D" w14:textId="77777777" w:rsidR="006023A7" w:rsidRPr="006023A7" w:rsidRDefault="006023A7" w:rsidP="006023A7">
      <w:pPr>
        <w:jc w:val="both"/>
      </w:pPr>
      <w:r w:rsidRPr="006023A7">
        <w:t>Una volta completato l’inserimento dei dati, il tool genera automaticamente una sezione di riepilogo che sintetizza gli effetti fiscali dell’operazione.</w:t>
      </w:r>
    </w:p>
    <w:p w14:paraId="01E7EB95" w14:textId="05C9F7EB" w:rsidR="006023A7" w:rsidRPr="006023A7" w:rsidRDefault="00805F1F" w:rsidP="006023A7">
      <w:pPr>
        <w:jc w:val="both"/>
      </w:pPr>
      <w:r w:rsidRPr="00406BC7">
        <w:rPr>
          <w:noProof/>
        </w:rPr>
        <w:drawing>
          <wp:inline distT="0" distB="0" distL="0" distR="0" wp14:anchorId="3038A300" wp14:editId="2EE8EC75">
            <wp:extent cx="6120130" cy="650875"/>
            <wp:effectExtent l="0" t="0" r="0" b="0"/>
            <wp:docPr id="1678129947"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650875"/>
                    </a:xfrm>
                    <a:prstGeom prst="rect">
                      <a:avLst/>
                    </a:prstGeom>
                    <a:noFill/>
                    <a:ln>
                      <a:noFill/>
                    </a:ln>
                  </pic:spPr>
                </pic:pic>
              </a:graphicData>
            </a:graphic>
          </wp:inline>
        </w:drawing>
      </w:r>
      <w:r w:rsidR="006023A7" w:rsidRPr="006023A7">
        <w:t>Nel caso simulato la differenza tra il valore normale dell’immobile e il valore fiscalmente riconosciuto è pari a 80.000 euro. Applicando l’aliquota del 10,5 per cento prevista per le società non operative, l’imposta sostitutiva dovuta dalla società ammonta a circa 8.652 euro.</w:t>
      </w:r>
    </w:p>
    <w:p w14:paraId="33E0581E" w14:textId="75BB815A" w:rsidR="006023A7" w:rsidRPr="006023A7" w:rsidRDefault="006023A7" w:rsidP="006023A7">
      <w:pPr>
        <w:jc w:val="both"/>
      </w:pPr>
      <w:r w:rsidRPr="006023A7">
        <w:lastRenderedPageBreak/>
        <w:t>Questo risultato consente di comprendere immediatamente il vantaggio della disciplina agevolativa rispetto al regime ordinario. In assenza dell’agevolazione, infatti, la plusvalenza sarebbe stata assoggettata alla tassazione ordinaria ai fini delle imposte sui redditi, con un carico fiscale significativamente più elevato.</w:t>
      </w:r>
    </w:p>
    <w:p w14:paraId="40A1420D" w14:textId="77777777" w:rsidR="006023A7" w:rsidRPr="006023A7" w:rsidRDefault="006023A7" w:rsidP="006023A7">
      <w:pPr>
        <w:jc w:val="both"/>
        <w:rPr>
          <w:b/>
          <w:bCs/>
        </w:rPr>
      </w:pPr>
      <w:r w:rsidRPr="006023A7">
        <w:rPr>
          <w:b/>
          <w:bCs/>
        </w:rPr>
        <w:t>Le imposte indirette</w:t>
      </w:r>
    </w:p>
    <w:p w14:paraId="056FCDAF" w14:textId="77777777" w:rsidR="006023A7" w:rsidRPr="006023A7" w:rsidRDefault="006023A7" w:rsidP="006023A7">
      <w:pPr>
        <w:jc w:val="both"/>
      </w:pPr>
      <w:r w:rsidRPr="006023A7">
        <w:t>Oltre alla tassazione della plusvalenza, l’assegnazione dei beni ai soci comporta anche il pagamento delle imposte indirette.</w:t>
      </w:r>
    </w:p>
    <w:p w14:paraId="432C0AEC" w14:textId="57B79E9A" w:rsidR="00406BC7" w:rsidRDefault="00406BC7" w:rsidP="006023A7">
      <w:pPr>
        <w:jc w:val="both"/>
        <w:rPr>
          <w:rFonts w:ascii="Segoe UI Emoji" w:hAnsi="Segoe UI Emoji" w:cs="Segoe UI Emoji"/>
        </w:rPr>
      </w:pPr>
      <w:r w:rsidRPr="00406BC7">
        <w:rPr>
          <w:noProof/>
        </w:rPr>
        <w:drawing>
          <wp:inline distT="0" distB="0" distL="0" distR="0" wp14:anchorId="213674F9" wp14:editId="0C5AF52A">
            <wp:extent cx="6120130" cy="1979295"/>
            <wp:effectExtent l="0" t="0" r="0" b="1905"/>
            <wp:docPr id="377531952"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1979295"/>
                    </a:xfrm>
                    <a:prstGeom prst="rect">
                      <a:avLst/>
                    </a:prstGeom>
                    <a:noFill/>
                    <a:ln>
                      <a:noFill/>
                    </a:ln>
                  </pic:spPr>
                </pic:pic>
              </a:graphicData>
            </a:graphic>
          </wp:inline>
        </w:drawing>
      </w:r>
    </w:p>
    <w:p w14:paraId="01C10F8E" w14:textId="4C751824" w:rsidR="006023A7" w:rsidRPr="006023A7" w:rsidRDefault="006023A7" w:rsidP="006023A7">
      <w:pPr>
        <w:jc w:val="both"/>
      </w:pPr>
      <w:r w:rsidRPr="006023A7">
        <w:t>Nel caso degli immobili occorre considerare l’imposta di registro, l’imposta ipotecaria e l’imposta catastale. La disciplina agevolativa prevede generalmente un trattamento più favorevole rispetto a quello previsto per le normali operazioni di trasferimento immobiliare.</w:t>
      </w:r>
    </w:p>
    <w:p w14:paraId="19294652" w14:textId="7E752C44" w:rsidR="006023A7" w:rsidRPr="006023A7" w:rsidRDefault="006023A7" w:rsidP="006023A7">
      <w:pPr>
        <w:jc w:val="both"/>
      </w:pPr>
      <w:r w:rsidRPr="006023A7">
        <w:t>Tuttavia, la corretta determinazione delle imposte indirette richiede un’attenta analisi delle caratteristiche del bene e delle modalità con cui viene realizzata l’operazione.</w:t>
      </w:r>
    </w:p>
    <w:p w14:paraId="5F7B736E" w14:textId="77777777" w:rsidR="006023A7" w:rsidRPr="006023A7" w:rsidRDefault="006023A7" w:rsidP="006023A7">
      <w:pPr>
        <w:jc w:val="both"/>
        <w:rPr>
          <w:b/>
          <w:bCs/>
        </w:rPr>
      </w:pPr>
      <w:r w:rsidRPr="006023A7">
        <w:rPr>
          <w:b/>
          <w:bCs/>
        </w:rPr>
        <w:t>La rettifica della detrazione IVA</w:t>
      </w:r>
    </w:p>
    <w:p w14:paraId="1E083348" w14:textId="77777777" w:rsidR="006023A7" w:rsidRPr="006023A7" w:rsidRDefault="006023A7" w:rsidP="006023A7">
      <w:pPr>
        <w:jc w:val="both"/>
      </w:pPr>
      <w:r w:rsidRPr="006023A7">
        <w:t>Un ulteriore elemento da considerare riguarda la possibile rettifica della detrazione IVA. Nel caso in cui l’immobile sia stato acquistato con detrazione dell’IVA, l’assegnazione ai soci può comportare l’obbligo di restituire una parte dell’imposta originariamente detratta.</w:t>
      </w:r>
    </w:p>
    <w:p w14:paraId="1FED9A08" w14:textId="1B04B3BF" w:rsidR="006023A7" w:rsidRPr="006023A7" w:rsidRDefault="00406BC7" w:rsidP="006023A7">
      <w:pPr>
        <w:jc w:val="both"/>
      </w:pPr>
      <w:r w:rsidRPr="00406BC7">
        <w:rPr>
          <w:noProof/>
        </w:rPr>
        <w:drawing>
          <wp:inline distT="0" distB="0" distL="0" distR="0" wp14:anchorId="3DAB6FF9" wp14:editId="2712D582">
            <wp:extent cx="6120130" cy="1264920"/>
            <wp:effectExtent l="0" t="0" r="0" b="0"/>
            <wp:docPr id="1390578100"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1264920"/>
                    </a:xfrm>
                    <a:prstGeom prst="rect">
                      <a:avLst/>
                    </a:prstGeom>
                    <a:noFill/>
                    <a:ln>
                      <a:noFill/>
                    </a:ln>
                  </pic:spPr>
                </pic:pic>
              </a:graphicData>
            </a:graphic>
          </wp:inline>
        </w:drawing>
      </w:r>
      <w:r w:rsidR="006023A7" w:rsidRPr="006023A7">
        <w:t>La normativa prevede infatti un periodo di monitoraggio di dieci anni per gli immobili. Se il bene viene destinato a un utilizzo diverso da quello originariamente previsto prima della scadenza di tale periodo, è necessario effettuare una rettifica proporzionale della detrazione.</w:t>
      </w:r>
    </w:p>
    <w:p w14:paraId="793AF06E" w14:textId="77777777" w:rsidR="006023A7" w:rsidRPr="006023A7" w:rsidRDefault="006023A7" w:rsidP="006023A7">
      <w:pPr>
        <w:jc w:val="both"/>
      </w:pPr>
      <w:r w:rsidRPr="006023A7">
        <w:t>Nel caso simulato l’IVA originariamente detratta ammontava a 100.000 euro. Considerando che sono trascorsi cinque anni dall’acquisto dell’immobile, la rettifica residua risulta pari a 50.000 euro.</w:t>
      </w:r>
    </w:p>
    <w:p w14:paraId="183192CD" w14:textId="675911F1" w:rsidR="006023A7" w:rsidRPr="006023A7" w:rsidRDefault="006023A7" w:rsidP="006023A7">
      <w:pPr>
        <w:jc w:val="both"/>
      </w:pPr>
      <w:r w:rsidRPr="006023A7">
        <w:t>Questo elemento dimostra come l’analisi della convenienza dell’operazione non possa limitarsi alla sola imposta sostitutiva, ma debba tenere conto di tutti gli effetti fiscali connessi all’assegnazione.</w:t>
      </w:r>
    </w:p>
    <w:p w14:paraId="40D97679" w14:textId="77777777" w:rsidR="006023A7" w:rsidRPr="006023A7" w:rsidRDefault="006023A7" w:rsidP="006023A7">
      <w:pPr>
        <w:jc w:val="both"/>
        <w:rPr>
          <w:b/>
          <w:bCs/>
        </w:rPr>
      </w:pPr>
      <w:r w:rsidRPr="006023A7">
        <w:rPr>
          <w:b/>
          <w:bCs/>
        </w:rPr>
        <w:t>La tassazione dei soci</w:t>
      </w:r>
    </w:p>
    <w:p w14:paraId="71A2DC0B" w14:textId="77777777" w:rsidR="006023A7" w:rsidRPr="006023A7" w:rsidRDefault="006023A7" w:rsidP="006023A7">
      <w:pPr>
        <w:jc w:val="both"/>
      </w:pPr>
      <w:r w:rsidRPr="006023A7">
        <w:lastRenderedPageBreak/>
        <w:t>Il tool consente infine di simulare la tassazione dei soci, evidenziando gli effetti fiscali dell’operazione a livello individuale.</w:t>
      </w:r>
    </w:p>
    <w:p w14:paraId="30F192C4" w14:textId="629341C2" w:rsidR="006023A7" w:rsidRPr="006023A7" w:rsidRDefault="001B6220" w:rsidP="006023A7">
      <w:pPr>
        <w:jc w:val="both"/>
      </w:pPr>
      <w:r w:rsidRPr="001B6220">
        <w:drawing>
          <wp:inline distT="0" distB="0" distL="0" distR="0" wp14:anchorId="451B62B6" wp14:editId="1B128A89">
            <wp:extent cx="6120130" cy="1711325"/>
            <wp:effectExtent l="0" t="0" r="0" b="3175"/>
            <wp:docPr id="93944246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1711325"/>
                    </a:xfrm>
                    <a:prstGeom prst="rect">
                      <a:avLst/>
                    </a:prstGeom>
                    <a:noFill/>
                    <a:ln>
                      <a:noFill/>
                    </a:ln>
                  </pic:spPr>
                </pic:pic>
              </a:graphicData>
            </a:graphic>
          </wp:inline>
        </w:drawing>
      </w:r>
      <w:r w:rsidR="006023A7" w:rsidRPr="006023A7">
        <w:t>Nel caso analizzato ciascun socio riceve un valore attribuito pari a circa 151.200 euro. Il sistema evidenzia inoltre l’eventuale imposizione fiscale derivante dalla distribuzione di utili.</w:t>
      </w:r>
    </w:p>
    <w:p w14:paraId="72426F50" w14:textId="59693B33" w:rsidR="006023A7" w:rsidRPr="006023A7" w:rsidRDefault="006023A7" w:rsidP="006023A7">
      <w:pPr>
        <w:jc w:val="both"/>
      </w:pPr>
      <w:r w:rsidRPr="006023A7">
        <w:t>Questa funzionalità è particolarmente utile perché consente al professionista di analizzare contemporaneamente gli effetti fiscali dell’operazione sia per la società sia per i soci.</w:t>
      </w:r>
    </w:p>
    <w:p w14:paraId="79B53E0E" w14:textId="77777777" w:rsidR="006023A7" w:rsidRPr="006023A7" w:rsidRDefault="006023A7" w:rsidP="006023A7">
      <w:pPr>
        <w:jc w:val="both"/>
        <w:rPr>
          <w:b/>
          <w:bCs/>
        </w:rPr>
      </w:pPr>
      <w:r w:rsidRPr="006023A7">
        <w:rPr>
          <w:b/>
          <w:bCs/>
        </w:rPr>
        <w:t>Confronto tra regime ordinario e regime agevolato</w:t>
      </w:r>
    </w:p>
    <w:p w14:paraId="391A91CD" w14:textId="77777777" w:rsidR="006023A7" w:rsidRPr="006023A7" w:rsidRDefault="006023A7" w:rsidP="006023A7">
      <w:pPr>
        <w:jc w:val="both"/>
      </w:pPr>
      <w:r w:rsidRPr="006023A7">
        <w:t>Uno degli aspetti più interessanti dell’analisi consiste nel confronto tra il regime ordinario e il regime agevolato.</w:t>
      </w:r>
    </w:p>
    <w:p w14:paraId="4B5842E8" w14:textId="37208B69" w:rsidR="006023A7" w:rsidRPr="006023A7" w:rsidRDefault="00805F1F" w:rsidP="006023A7">
      <w:pPr>
        <w:jc w:val="both"/>
      </w:pPr>
      <w:r w:rsidRPr="001B6220">
        <w:drawing>
          <wp:inline distT="0" distB="0" distL="0" distR="0" wp14:anchorId="76911881" wp14:editId="3A700B1C">
            <wp:extent cx="6120130" cy="2087880"/>
            <wp:effectExtent l="0" t="0" r="0" b="0"/>
            <wp:docPr id="160657618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2087880"/>
                    </a:xfrm>
                    <a:prstGeom prst="rect">
                      <a:avLst/>
                    </a:prstGeom>
                    <a:noFill/>
                    <a:ln>
                      <a:noFill/>
                    </a:ln>
                  </pic:spPr>
                </pic:pic>
              </a:graphicData>
            </a:graphic>
          </wp:inline>
        </w:drawing>
      </w:r>
      <w:r w:rsidR="006023A7" w:rsidRPr="006023A7">
        <w:t>Nel regime ordinario la plusvalenza derivante dall’assegnazione sarebbe stata assoggettata alla tassazione ordinaria ai fini delle imposte sui redditi, con un carico fiscale complessivo sensibilmente più elevato. L’applicazione dell’imposta sostitutiva consente invece di ridurre significativamente l’imposizione fiscale.</w:t>
      </w:r>
    </w:p>
    <w:p w14:paraId="1EC02D71" w14:textId="69D00E62" w:rsidR="006023A7" w:rsidRPr="006023A7" w:rsidRDefault="006023A7" w:rsidP="006023A7">
      <w:pPr>
        <w:jc w:val="both"/>
      </w:pPr>
      <w:r w:rsidRPr="006023A7">
        <w:t>Questo confronto rappresenta uno degli elementi più utili nella consulenza al cliente, perché permette di dimostrare in modo concreto il vantaggio dell’operazione.</w:t>
      </w:r>
    </w:p>
    <w:p w14:paraId="4D9C01E5" w14:textId="77777777" w:rsidR="006023A7" w:rsidRPr="006023A7" w:rsidRDefault="006023A7" w:rsidP="006023A7">
      <w:pPr>
        <w:jc w:val="both"/>
        <w:rPr>
          <w:b/>
          <w:bCs/>
        </w:rPr>
      </w:pPr>
      <w:r w:rsidRPr="006023A7">
        <w:rPr>
          <w:b/>
          <w:bCs/>
        </w:rPr>
        <w:t>Conclusioni</w:t>
      </w:r>
    </w:p>
    <w:p w14:paraId="750190B8" w14:textId="77777777" w:rsidR="006023A7" w:rsidRPr="006023A7" w:rsidRDefault="006023A7" w:rsidP="006023A7">
      <w:pPr>
        <w:jc w:val="both"/>
      </w:pPr>
      <w:r w:rsidRPr="006023A7">
        <w:t>L’assegnazione agevolata dei beni ai soci rappresenta uno strumento estremamente utile per la razionalizzazione del patrimonio societario. L’operazione consente infatti di separare gli asset patrimoniali dall’attività produttiva e di trasferire determinati beni direttamente nel patrimonio personale dei soci.</w:t>
      </w:r>
    </w:p>
    <w:p w14:paraId="5819DD93" w14:textId="77777777" w:rsidR="006023A7" w:rsidRPr="006023A7" w:rsidRDefault="006023A7" w:rsidP="006023A7">
      <w:pPr>
        <w:jc w:val="both"/>
      </w:pPr>
      <w:r w:rsidRPr="006023A7">
        <w:t>Tuttavia, la convenienza dell’operazione dipende da numerose variabili e richiede un’analisi preventiva accurata. Il professionista deve valutare contemporaneamente l’impatto sulla società, la tassazione dei soci e il trattamento delle imposte indirette.</w:t>
      </w:r>
    </w:p>
    <w:p w14:paraId="73563E9E" w14:textId="77777777" w:rsidR="006023A7" w:rsidRPr="006023A7" w:rsidRDefault="006023A7" w:rsidP="006023A7">
      <w:pPr>
        <w:jc w:val="both"/>
      </w:pPr>
      <w:r w:rsidRPr="006023A7">
        <w:lastRenderedPageBreak/>
        <w:t>In questo contesto l’utilizzo di strumenti di simulazione come il tool illustrato consente di effettuare rapidamente le valutazioni necessarie e di offrire al cliente una consulenza più strutturata e consapevole.</w:t>
      </w:r>
    </w:p>
    <w:p w14:paraId="4EAD3B05" w14:textId="77777777" w:rsidR="006023A7" w:rsidRPr="006023A7" w:rsidRDefault="006023A7" w:rsidP="006023A7">
      <w:pPr>
        <w:jc w:val="both"/>
      </w:pPr>
      <w:r w:rsidRPr="006023A7">
        <w:t>Grazie alla possibilità di confrontare diversi scenari e di calcolare automaticamente gli effetti fiscali dell’operazione, il tool rappresenta un valido supporto operativo per affrontare con maggiore sicurezza una delle operazioni di pianificazione patrimoniale più rilevanti nella pratica professionale.</w:t>
      </w:r>
    </w:p>
    <w:p w14:paraId="54E5DC46" w14:textId="5F07D1D1" w:rsidR="006E5569" w:rsidRDefault="006E5569" w:rsidP="00CA7D04">
      <w:pPr>
        <w:jc w:val="both"/>
      </w:pPr>
    </w:p>
    <w:sectPr w:rsidR="006E556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502C7"/>
    <w:multiLevelType w:val="multilevel"/>
    <w:tmpl w:val="8614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C2210A"/>
    <w:multiLevelType w:val="multilevel"/>
    <w:tmpl w:val="5F50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705297">
    <w:abstractNumId w:val="1"/>
  </w:num>
  <w:num w:numId="2" w16cid:durableId="1217545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D04"/>
    <w:rsid w:val="00077148"/>
    <w:rsid w:val="001B6220"/>
    <w:rsid w:val="00402562"/>
    <w:rsid w:val="00406BC7"/>
    <w:rsid w:val="006023A7"/>
    <w:rsid w:val="006E5569"/>
    <w:rsid w:val="007E163A"/>
    <w:rsid w:val="00805F1F"/>
    <w:rsid w:val="00B62CE4"/>
    <w:rsid w:val="00C77916"/>
    <w:rsid w:val="00CA7D0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5552B"/>
  <w15:chartTrackingRefBased/>
  <w15:docId w15:val="{1CF0E73D-5BCE-43DB-9132-81A3979C5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A7D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A7D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A7D0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A7D0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A7D0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A7D0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A7D0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A7D0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A7D0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A7D0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A7D0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A7D0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A7D0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A7D0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A7D0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A7D0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A7D0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A7D04"/>
    <w:rPr>
      <w:rFonts w:eastAsiaTheme="majorEastAsia" w:cstheme="majorBidi"/>
      <w:color w:val="272727" w:themeColor="text1" w:themeTint="D8"/>
    </w:rPr>
  </w:style>
  <w:style w:type="paragraph" w:styleId="Titolo">
    <w:name w:val="Title"/>
    <w:basedOn w:val="Normale"/>
    <w:next w:val="Normale"/>
    <w:link w:val="TitoloCarattere"/>
    <w:uiPriority w:val="10"/>
    <w:qFormat/>
    <w:rsid w:val="00CA7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A7D0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A7D0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A7D0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A7D0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A7D04"/>
    <w:rPr>
      <w:i/>
      <w:iCs/>
      <w:color w:val="404040" w:themeColor="text1" w:themeTint="BF"/>
    </w:rPr>
  </w:style>
  <w:style w:type="paragraph" w:styleId="Paragrafoelenco">
    <w:name w:val="List Paragraph"/>
    <w:basedOn w:val="Normale"/>
    <w:uiPriority w:val="34"/>
    <w:qFormat/>
    <w:rsid w:val="00CA7D04"/>
    <w:pPr>
      <w:ind w:left="720"/>
      <w:contextualSpacing/>
    </w:pPr>
  </w:style>
  <w:style w:type="character" w:styleId="Enfasiintensa">
    <w:name w:val="Intense Emphasis"/>
    <w:basedOn w:val="Carpredefinitoparagrafo"/>
    <w:uiPriority w:val="21"/>
    <w:qFormat/>
    <w:rsid w:val="00CA7D04"/>
    <w:rPr>
      <w:i/>
      <w:iCs/>
      <w:color w:val="0F4761" w:themeColor="accent1" w:themeShade="BF"/>
    </w:rPr>
  </w:style>
  <w:style w:type="paragraph" w:styleId="Citazioneintensa">
    <w:name w:val="Intense Quote"/>
    <w:basedOn w:val="Normale"/>
    <w:next w:val="Normale"/>
    <w:link w:val="CitazioneintensaCarattere"/>
    <w:uiPriority w:val="30"/>
    <w:qFormat/>
    <w:rsid w:val="00CA7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A7D04"/>
    <w:rPr>
      <w:i/>
      <w:iCs/>
      <w:color w:val="0F4761" w:themeColor="accent1" w:themeShade="BF"/>
    </w:rPr>
  </w:style>
  <w:style w:type="character" w:styleId="Riferimentointenso">
    <w:name w:val="Intense Reference"/>
    <w:basedOn w:val="Carpredefinitoparagrafo"/>
    <w:uiPriority w:val="32"/>
    <w:qFormat/>
    <w:rsid w:val="00CA7D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emf"/><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emf"/><Relationship Id="rId15" Type="http://schemas.openxmlformats.org/officeDocument/2006/relationships/theme" Target="theme/theme1.xml"/><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CE40AC2-CF19-4C43-BC69-13CFEC738590}"/>
</file>

<file path=customXml/itemProps2.xml><?xml version="1.0" encoding="utf-8"?>
<ds:datastoreItem xmlns:ds="http://schemas.openxmlformats.org/officeDocument/2006/customXml" ds:itemID="{E4AC190D-45C2-4162-A6C3-BF26B9DC264E}"/>
</file>

<file path=customXml/itemProps3.xml><?xml version="1.0" encoding="utf-8"?>
<ds:datastoreItem xmlns:ds="http://schemas.openxmlformats.org/officeDocument/2006/customXml" ds:itemID="{1FAB6ABD-561B-400D-A284-5BBC0E82B092}"/>
</file>

<file path=docProps/app.xml><?xml version="1.0" encoding="utf-8"?>
<Properties xmlns="http://schemas.openxmlformats.org/officeDocument/2006/extended-properties" xmlns:vt="http://schemas.openxmlformats.org/officeDocument/2006/docPropsVTypes">
  <Template>Normal</Template>
  <TotalTime>562</TotalTime>
  <Pages>8</Pages>
  <Words>2593</Words>
  <Characters>14786</Characters>
  <Application>Microsoft Office Word</Application>
  <DocSecurity>0</DocSecurity>
  <Lines>123</Lines>
  <Paragraphs>34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Gabriele Musazzi</dc:creator>
  <cp:keywords/>
  <dc:description/>
  <cp:lastModifiedBy>Gabriele Musazzi</cp:lastModifiedBy>
  <cp:revision>4</cp:revision>
  <dcterms:created xsi:type="dcterms:W3CDTF">2026-03-04T11:53:00Z</dcterms:created>
  <dcterms:modified xsi:type="dcterms:W3CDTF">2026-03-06T10:13:00Z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ies>
</file>