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Governance e Sicurezza AI</w:t>
      </w:r>
    </w:p>
    <w:p/>
    <w:p>
      <w:pPr>
        <w:spacing w:after="120"/>
        <w:jc w:val="left"/>
      </w:pPr>
      <w:r>
        <w:rPr>
          <w:rFonts w:ascii="Calibri" w:hAnsi="Calibri"/>
          <w:b/>
          <w:color w:val="1F497D"/>
          <w:sz w:val="48"/>
        </w:rPr>
        <w:t>Il problema non e' l'AI che sbaglia:</w:t>
        <w:br/>
        <w:t>e' quella che agisce senza che nessuno sappia.</w:t>
      </w:r>
    </w:p>
    <w:p>
      <w:pPr>
        <w:spacing w:after="200"/>
        <w:jc w:val="left"/>
      </w:pPr>
      <w:r>
        <w:rPr>
          <w:rFonts w:ascii="Calibri" w:hAnsi="Calibri"/>
          <w:i/>
          <w:color w:val="2E74B5"/>
          <w:sz w:val="26"/>
        </w:rPr>
        <w:t>Il 91% delle organizzazioni usa gia' agenti AI autonomi, ma solo il 10% ha una strategia per governarli. Nelle imprese italiane il 31% ha avuto almeno un incidente legato all'AI. Si chiama 'shadow operation' e non e' un problema tecnico: e' un problema organizzativo che ogni azienda deve affrontare prima che si manifesti in modo costoso.</w:t>
      </w:r>
    </w:p>
    <w:p>
      <w:pPr>
        <w:spacing w:after="40" w:before="40"/>
        <w:pBdr>
          <w:bottom w:val="single" w:sz="6" w:space="1" w:color="1F497D"/>
        </w:pBdr>
      </w:pPr>
    </w:p>
    <w:p>
      <w:pPr>
        <w:spacing w:after="320"/>
        <w:jc w:val="left"/>
      </w:pPr>
      <w:r>
        <w:rPr>
          <w:rFonts w:ascii="Calibri" w:hAnsi="Calibri"/>
          <w:color w:val="808080"/>
          <w:sz w:val="18"/>
        </w:rPr>
        <w:t>A cura della Redazione Ratio  •  17 luglio 2026</w:t>
      </w:r>
    </w:p>
    <w:p>
      <w:pPr>
        <w:spacing w:after="160" w:line="320" w:lineRule="exact"/>
        <w:jc w:val="both"/>
      </w:pPr>
      <w:r>
        <w:rPr>
          <w:rFonts w:ascii="Calibri" w:hAnsi="Calibri"/>
          <w:sz w:val="22"/>
        </w:rPr>
        <w:t>Un'azienda italiana di medie dimensioni operante nella logistica ha scoperto ad aprile che undici diversi strumenti AI erano in uso attivo all'interno dell'organizzazione. Il reparto IT ne conosceva tre, quelli ufficialmente approvati e acquistati dall'azienda. Gli altri otto erano stati attivati autonomamente da dipendenti e responsabili di reparto, a volte con carte di credito aziendali, a volte con account personali riutilizzati per lavoro. Nessuno di questi strumenti aveva un accordo sul trattamento dei dati con l'azienda. Due di essi elaboravano documenti contenenti dati personali di clienti. La scoperta non e' arrivata da un audit interno: e' arrivata dal reclamo di un cliente che aveva ricevuto una risposta generata da AI per conto dell'azienda e l'aveva riconosciuta dallo stile della scrittura.</w:t>
      </w:r>
    </w:p>
    <w:p>
      <w:pPr>
        <w:spacing w:after="160" w:line="320" w:lineRule="exact"/>
        <w:jc w:val="both"/>
      </w:pPr>
      <w:r>
        <w:rPr>
          <w:rFonts w:ascii="Calibri" w:hAnsi="Calibri"/>
          <w:sz w:val="22"/>
        </w:rPr>
        <w:t>Questa situazione ha un nome: shadow operation. Per analogia con lo shadow IT, che descrive l'uso di strumenti non autorizzati all'interno delle aziende, lo shadow operation descrive il deployment di sistemi AI, compresi quelli agentici, nei processi aziendali senza il controllo del reparto IT o del management. Una ricerca di luglio 2026 di Agenda Digitale, confermata da rilevazioni tra le imprese italiane, trova che il 31% delle aziende italiane ha avuto un incidente sospetto o confermato legato all'uso dell'AI, e nella maggior parte dei casi l'incidente e' originato da strumenti messi in esercizio senza governance formale.</w:t>
      </w:r>
    </w:p>
    <w:p>
      <w:pPr>
        <w:spacing w:after="160" w:line="320" w:lineRule="exact"/>
        <w:jc w:val="both"/>
      </w:pPr>
      <w:r>
        <w:rPr>
          <w:rFonts w:ascii="Calibri" w:hAnsi="Calibri"/>
          <w:sz w:val="22"/>
        </w:rPr>
        <w:t>La dimensione agentica aggiunge un rischio specifico. Un agente AI non e' uno strumento che attende un prompt e risponde: e' un sistema che puo' ricevere istruzioni, eseguire sequenze di operazioni nel tempo, interagire con servizi esterni, inviare email, compilare moduli, interrogare database. Quando un dipendente mette in esercizio un sistema agentivo senza il controllo dell'azienda, crea un attore operativo autonomo che agisce in nome dell'azienda senza alcuna supervisione. La ricerca di European Affairs del luglio 2026 calcola che il costo medio di una violazione riconducibile ad agenti AI non governati per le imprese italiane si attesta intorno ai 4,24 milioni di euro, una cifra che include costi legali, sanzioni regolamentari e danno reputazionale.</w:t>
      </w:r>
    </w:p>
    <w:p>
      <w:pPr>
        <w:spacing w:before="280" w:after="120"/>
      </w:pPr>
      <w:r>
        <w:rPr>
          <w:rFonts w:ascii="Calibri" w:hAnsi="Calibri"/>
          <w:b/>
          <w:color w:val="1F497D"/>
          <w:sz w:val="24"/>
        </w:rPr>
        <w:t>Come accade davvero: i percorsi verso lo shadow operation</w:t>
      </w:r>
    </w:p>
    <w:p>
      <w:pPr>
        <w:spacing w:after="160" w:line="320" w:lineRule="exact"/>
        <w:jc w:val="both"/>
      </w:pPr>
      <w:r>
        <w:rPr>
          <w:rFonts w:ascii="Calibri" w:hAnsi="Calibri"/>
          <w:sz w:val="22"/>
        </w:rPr>
        <w:t>Lo shadow operation nelle aziende non avviene attraverso manovre sofisticate: avviene attraverso decisioni quotidiane che sembrano innocue a chi le prende. Un responsabile commerciale si abbona a uno strumento AI che redige automaticamente proposte commerciali a partire dai dati del CRM e le invia ai prospect. Un'addetta alla contabilita' attiva un agente che estrae dati riepilogativi dalle fatture e popola fogli di calcolo, compresi quelli con dati personali dei fornitori. Un responsabile della comunicazione collega i canali social aziendali a un sistema AI autonomo che pubblica contenuti generati a partire dai briefing settimanali. Ciascuno di questi usi ha una razionale operativa immediata. Nessuno di essi ha attraversato un processo di approvazione, valutazione legale o configurazione di adeguati controlli di sicurezza.</w:t>
      </w:r>
    </w:p>
    <w:p>
      <w:pPr>
        <w:spacing w:after="160" w:line="320" w:lineRule="exact"/>
        <w:jc w:val="both"/>
      </w:pPr>
      <w:r>
        <w:rPr>
          <w:rFonts w:ascii="Calibri" w:hAnsi="Calibri"/>
          <w:sz w:val="22"/>
        </w:rPr>
        <w:t>Il rischio specifico di questi scenari non e' solo la fuga di dati, che pure e' seria. E' che l'azienda compie operazioni in modo automatizzato, a volte operazioni irreversibili, senza che nessun essere umano le abbia consapevolmente autorizzate. Un agente che invia email ai clienti per conto dell'azienda, un agente che negozia con i fornitori tramite risposte automatizzate, un agente che accede ai database aziendali per generare report: ciascuno di questi sistemi puo' causare danni che il dipendente che lo ha attivato non aveva previsto e che nessuno in azienda sapeva stessero accadendo. Il paradosso e' che, in molti casi, i sistemi funzionano correttamente per mesi prima che un problema renda visibile l'assenza di governance.</w:t>
      </w:r>
    </w:p>
    <w:p>
      <w:pPr>
        <w:spacing w:before="280" w:after="120"/>
      </w:pPr>
      <w:r>
        <w:rPr>
          <w:rFonts w:ascii="Calibri" w:hAnsi="Calibri"/>
          <w:b/>
          <w:color w:val="1F497D"/>
          <w:sz w:val="24"/>
        </w:rPr>
        <w:t>Da dove iniziare per governare quello che gia' succede</w:t>
      </w:r>
    </w:p>
    <w:p>
      <w:pPr>
        <w:spacing w:after="160" w:line="320" w:lineRule="exact"/>
        <w:jc w:val="both"/>
      </w:pPr>
      <w:r>
        <w:rPr>
          <w:rFonts w:ascii="Calibri" w:hAnsi="Calibri"/>
          <w:sz w:val="22"/>
        </w:rPr>
        <w:t>La governance degli agenti AI non inizia da una policy aziendale comprensiva: inizia da un censimento. Il primo passo concreto e' mappare quali strumenti sono effettivamente in uso, inclusi quelli attivati senza autorizzazione. Questo censimento non puo' essere fatto solo attraverso interviste ai responsabili di reparto: deve includere un'analisi dei software installati sui dispositivi aziendali, degli abbonamenti attivi visibili nelle note spese o sulle carte di credito aziendali, e delle integrazioni attive su piattaforme di terze parti come Google Workspace, Microsoft 365 o Slack. Solo dopo aver completato il censimento un'azienda ha una visione realistica del rischio che gia' porta.</w:t>
      </w:r>
    </w:p>
    <w:p>
      <w:pPr>
        <w:spacing w:after="160" w:line="320" w:lineRule="exact"/>
        <w:jc w:val="both"/>
      </w:pPr>
      <w:r>
        <w:rPr>
          <w:rFonts w:ascii="Calibri" w:hAnsi="Calibri"/>
          <w:sz w:val="22"/>
        </w:rPr>
        <w:t>Le aziende che gestiscono meglio questa transizione non sono quelle che proibiscono l'uso degli agenti AI: sono quelle che creano un percorso di autorizzazione rapido. Un processo snello che consenta a un dipendente di proporre un uso AI, ottenere una valutazione tecnica e legale entro una settimana e ricevere un'autorizzazione formale riduce lo shadow operation togliendo la ragione principale della sua esistenza: l'impossibilita' pratica di fare le cose nei canali ufficiali. Chi rende troppo complicato fare le cose correttamente crea le condizioni per un uso informale diffuso. L'obiettivo non e' bloccare l'utilizzo: e' renderlo visibile, e governabile da chi ha la responsabilita' di farlo.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AgendaDigitale.eu -- 'Shadow operation, il nuovo rischio degli agenti AI in azienda' (luglio 2026)</w:t>
      </w:r>
    </w:p>
    <w:p>
      <w:pPr>
        <w:spacing w:after="40"/>
      </w:pPr>
      <w:r>
        <w:rPr>
          <w:rFonts w:ascii="Calibri" w:hAnsi="Calibri"/>
          <w:color w:val="606060"/>
          <w:sz w:val="17"/>
        </w:rPr>
        <w:t>• EuropeanAffairs.it -- 'Agenti AI, il nuovo rischio cyber da milioni di euro per le imprese italiane' (9 luglio 2026)</w:t>
      </w:r>
    </w:p>
    <w:p>
      <w:pPr>
        <w:spacing w:after="40"/>
      </w:pPr>
      <w:r>
        <w:rPr>
          <w:rFonts w:ascii="Calibri" w:hAnsi="Calibri"/>
          <w:color w:val="606060"/>
          <w:sz w:val="17"/>
        </w:rPr>
        <w:t>• AffarItaliani.it -- 'Agenti IA, violazione dei dati e incidenti informatici: quanto rischiano le aziende italiane'</w:t>
      </w:r>
    </w:p>
    <w:p>
      <w:pPr>
        <w:spacing w:after="40"/>
      </w:pPr>
      <w:r>
        <w:rPr>
          <w:rFonts w:ascii="Calibri" w:hAnsi="Calibri"/>
          <w:color w:val="606060"/>
          <w:sz w:val="17"/>
        </w:rPr>
        <w:t>• DataManager.it -- 'Il 31% delle aziende italiane ha subito incidenti legati all'AI' (aprile 2026)</w:t>
      </w:r>
    </w:p>
    <w:p>
      <w:pPr>
        <w:spacing w:after="40"/>
      </w:pPr>
      <w:r>
        <w:rPr>
          <w:rFonts w:ascii="Calibri" w:hAnsi="Calibri"/>
          <w:color w:val="606060"/>
          <w:sz w:val="17"/>
        </w:rPr>
        <w:t>• TomHardware.it -- 'Gli agenti AI sono la nuova minaccia interna per le aziende nel 2026'</w:t>
      </w:r>
    </w:p>
    <w:p>
      <w:pPr>
        <w:spacing w:after="40"/>
      </w:pPr>
      <w:r>
        <w:rPr>
          <w:rFonts w:ascii="Calibri" w:hAnsi="Calibri"/>
          <w:color w:val="606060"/>
          <w:sz w:val="17"/>
        </w:rPr>
        <w:t>• ZeroUnoWeb.it -- 'Agenti AI nelle imprese italiane: dove creano valore, dove possono fallire'</w:t>
      </w:r>
    </w:p>
    <w:p>
      <w:pPr>
        <w:spacing w:after="40"/>
      </w:pPr>
      <w:r>
        <w:rPr>
          <w:rFonts w:ascii="Calibri" w:hAnsi="Calibri"/>
          <w:color w:val="606060"/>
          <w:sz w:val="17"/>
        </w:rPr>
        <w:t>• FortuneIta.com -- 'Agenti AI, rischio di un'autonomia mal gestita?' (aprile 2026)</w:t>
      </w:r>
    </w:p>
    <w:p>
      <w:pPr>
        <w:spacing w:after="40"/>
      </w:pPr>
      <w:r>
        <w:rPr>
          <w:rFonts w:ascii="Calibri" w:hAnsi="Calibri"/>
          <w:color w:val="606060"/>
          <w:sz w:val="17"/>
        </w:rPr>
        <w:t>• Regolamento UE 2024/1689 (AI Act), considerando 12 e articoli 28-29 (obblighi deployer) -- EUR-Lex</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