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Aprile 2026  |  Strumenti e Processi</w:t>
      </w:r>
    </w:p>
    <w:p/>
    <w:p>
      <w:pPr>
        <w:spacing w:after="120"/>
        <w:jc w:val="left"/>
      </w:pPr>
      <w:r>
        <w:rPr>
          <w:rFonts w:ascii="Calibri" w:hAnsi="Calibri"/>
          <w:b/>
          <w:color w:val="1F497D"/>
          <w:sz w:val="44"/>
        </w:rPr>
        <w:t>Quando l’agente AI agisce senza aspettare: quello che cambia se deleghi a un sistema autonomo</w:t>
      </w:r>
    </w:p>
    <w:p>
      <w:pPr>
        <w:spacing w:after="200"/>
        <w:jc w:val="left"/>
      </w:pPr>
      <w:r>
        <w:rPr>
          <w:rFonts w:ascii="Calibri" w:hAnsi="Calibri"/>
          <w:i/>
          <w:color w:val="2E74B5"/>
          <w:sz w:val="26"/>
        </w:rPr>
        <w:t>Gli agenti AI non rispondono a domande: eseguono processi in autonomia, interagendo con sistemi esterni. Prima di adottarli in studio o in azienda, conviene capire cosa significa davvero delegare.</w:t>
      </w:r>
    </w:p>
    <w:p>
      <w:pPr>
        <w:spacing w:after="40" w:before="40"/>
        <w:pBdr>
          <w:bottom w:val="single" w:sz="6" w:space="1" w:color="1F497D"/>
        </w:pBdr>
      </w:pPr>
    </w:p>
    <w:p>
      <w:pPr>
        <w:spacing w:after="320"/>
        <w:jc w:val="left"/>
      </w:pPr>
      <w:r>
        <w:rPr>
          <w:rFonts w:ascii="Calibri" w:hAnsi="Calibri"/>
          <w:color w:val="808080"/>
          <w:sz w:val="18"/>
        </w:rPr>
        <w:t>A cura della Redazione Ratio  •  17 aprile 2026</w:t>
      </w:r>
    </w:p>
    <w:p>
      <w:pPr>
        <w:spacing w:after="160" w:before="0" w:line="320" w:lineRule="exact"/>
        <w:jc w:val="both"/>
      </w:pPr>
      <w:r>
        <w:rPr>
          <w:rFonts w:ascii="Calibri" w:hAnsi="Calibri"/>
          <w:i w:val="0"/>
          <w:sz w:val="22"/>
        </w:rPr>
        <w:t>Lunedì pomeriggio configuri un agente AI collegato al gestionale dello studio. Martedì mattina, quando accendi il computer, trovi che ha verificato le scadenze di quaranta clienti, segnalato tre anomalie nei flussi di cassa, preparato due bozze di email e avviato l’upload di documentazione su un portale esterno. Ottimo. Poi ti accorgi che una delle email è già stata inviata. Il portale usato era quello sbagliato per quel tipo di documento. L’agente ha fatto esattamente quello che gli era stato chiesto, solo che le istruzioni non erano abbastanza precise.</w:t>
      </w:r>
    </w:p>
    <w:p>
      <w:pPr>
        <w:spacing w:after="160" w:before="0" w:line="320" w:lineRule="exact"/>
        <w:jc w:val="both"/>
      </w:pPr>
      <w:r>
        <w:rPr>
          <w:rFonts w:ascii="Calibri" w:hAnsi="Calibri"/>
          <w:i w:val="0"/>
          <w:sz w:val="22"/>
        </w:rPr>
        <w:t>La differenza tra un chatbot e un agente AI è precisamente questa: il chatbot risponde a una domanda e aspetta la prossima, l’agente persegue un obiettivo complesso eseguendo una sequenza di azioni, spesso su sistemi esterni, senza richiedere approvazione a ogni passo. Può accedere a database, inviare email, aprire file, compilare moduli, effettuare ricerche su portali web. È una caratteristica potente, non un difetto. Richiede però una logica di governance diversa da quella che si applica a un assistente che attende sempre la tua risposta.</w:t>
      </w:r>
    </w:p>
    <w:p>
      <w:pPr>
        <w:spacing w:after="160" w:before="0" w:line="320" w:lineRule="exact"/>
        <w:jc w:val="both"/>
      </w:pPr>
      <w:r>
        <w:rPr>
          <w:rFonts w:ascii="Calibri" w:hAnsi="Calibri"/>
          <w:i w:val="0"/>
          <w:sz w:val="22"/>
        </w:rPr>
        <w:t>Nel mercato italiano, gli agenti AI stanno arrivando da due direzioni. Le piattaforme generaliste come n8n, Make e Zapier consentono di costruire workflow automatizzati collegando strumenti AI a sistemi già in uso nello studio. Sul versante delle soluzioni verticali, ad aprile 2026 è stata lanciata AgenVIO, pensata specificamente per le PMI italiane con funzioni AI agentiche integrate nei processi amministrativi. Il confine tra automazione e agente autonomo è sottile ma rilevante: un’automazione esegue una regola fissa, un agente adatta il proprio comportamento al contesto.</w:t>
      </w:r>
    </w:p>
    <w:p>
      <w:pPr>
        <w:spacing w:before="280" w:after="120"/>
      </w:pPr>
      <w:r>
        <w:rPr>
          <w:rFonts w:ascii="Calibri" w:hAnsi="Calibri"/>
          <w:b/>
          <w:color w:val="1F497D"/>
          <w:sz w:val="26"/>
        </w:rPr>
        <w:t>Il nodo della governance: chi decide cosa</w:t>
      </w:r>
    </w:p>
    <w:p>
      <w:pPr>
        <w:spacing w:after="160" w:before="0" w:line="320" w:lineRule="exact"/>
        <w:jc w:val="both"/>
      </w:pPr>
      <w:r>
        <w:rPr>
          <w:rFonts w:ascii="Calibri" w:hAnsi="Calibri"/>
          <w:i w:val="0"/>
          <w:sz w:val="22"/>
        </w:rPr>
        <w:t>Prima di adottare un agente AI in un contesto professionale o aziendale, la domanda più utile non è “cosa riesce a fare?” ma “su quali azioni voglio che chieda conferma, e su quali può procedere autonomamente?”. Questa distinzione deve essere decisa prima della configurazione, non dopo il primo incidente. Le azioni reversibili (preparare una bozza, raccogliere dati, generare un report) si prestano bene all’autonomia. Le azioni irreversibili o ad alto impatto (inviare comunicazioni a clienti, trasmettere documenti, effettuare operazioni su sistemi fiscali) richiedono un punto di conferma umana obbligatorio.</w:t>
      </w:r>
    </w:p>
    <w:p>
      <w:pPr>
        <w:spacing w:after="160" w:before="0" w:line="320" w:lineRule="exact"/>
        <w:jc w:val="both"/>
      </w:pPr>
      <w:r>
        <w:rPr>
          <w:rFonts w:ascii="Calibri" w:hAnsi="Calibri"/>
          <w:i w:val="0"/>
          <w:sz w:val="22"/>
        </w:rPr>
        <w:t>L’AI Act europeo classifica come ad alto rischio molti sistemi agentici che operano in ambito professionale, gestionale e decisionale. Questo significa che, entro agosto 2026, le aziende e gli studi che utilizzano agenti AI in questi contesti dovranno disporre di documentazione tecnica, sistema di gestione del rischio e supervisione umana dimostrabile. Non è un requisito astratto: è la formalizzazione di qualcosa che andrebbe fatto comunque per ragioni operative, indipendentemente dalla normativa.</w:t>
      </w:r>
    </w:p>
    <w:p>
      <w:pPr>
        <w:spacing w:after="160" w:before="0" w:line="320" w:lineRule="exact"/>
        <w:jc w:val="both"/>
      </w:pPr>
      <w:r>
        <w:rPr>
          <w:rFonts w:ascii="Calibri" w:hAnsi="Calibri"/>
          <w:i w:val="0"/>
          <w:sz w:val="22"/>
        </w:rPr>
        <w:t>Un agente configurato male non è pericoloso nel senso drammatico del termine. Può però consumare risorse, produrre output inconsistenti, creare confusione con i clienti o con i sistemi interni, e farlo in modo silenzioso perché, per definizione, agisce quando tu non stai guardando. La potenza degli agenti AI si realizza pienamente quando le istruzioni sono precise, il perimetro di azione è definito, e i punti di controllo umano sono previsti in anticipo.</w:t>
      </w:r>
    </w:p>
    <w:p>
      <w:pPr>
        <w:spacing w:before="280" w:after="120"/>
      </w:pPr>
      <w:r>
        <w:rPr>
          <w:rFonts w:ascii="Calibri" w:hAnsi="Calibri"/>
          <w:b/>
          <w:color w:val="1F497D"/>
          <w:sz w:val="26"/>
        </w:rPr>
        <w:t>Il modello operativo che funziona</w:t>
      </w:r>
    </w:p>
    <w:p>
      <w:pPr>
        <w:spacing w:after="160" w:before="0" w:line="320" w:lineRule="exact"/>
        <w:jc w:val="both"/>
      </w:pPr>
      <w:r>
        <w:rPr>
          <w:rFonts w:ascii="Calibri" w:hAnsi="Calibri"/>
          <w:i w:val="0"/>
          <w:sz w:val="22"/>
        </w:rPr>
        <w:t>Gli studi e le aziende che ottengono risultati concreti dall’AI agentica hanno in comune un approccio: prima ridisegnano il flusso di lavoro, poi configurano l’agente. Chi fa il contrario, aggiungendo l’agente su processi già disordinati, ottiene automazione del caos. La fase di analisi preliminare non richiede competenze tecniche avanzate: richiede la capacità di rispondere a domande semplici. Cosa deve fare l’agente, esattamente? Con quali sistemi deve interagire? Quali output produce e chi li legge? Cosa succede se si blocca o produce un risultato inatteso?</w:t>
      </w:r>
    </w:p>
    <w:p>
      <w:pPr>
        <w:spacing w:after="160" w:before="0" w:line="320" w:lineRule="exact"/>
        <w:jc w:val="both"/>
      </w:pPr>
      <w:r>
        <w:rPr>
          <w:rFonts w:ascii="Calibri" w:hAnsi="Calibri"/>
          <w:i w:val="0"/>
          <w:sz w:val="22"/>
        </w:rPr>
        <w:t>La buona notizia è che la differenza tra un’adozione ben riuscita e una fallimentare non dipende dalla tecnologia: dipende dalla chiarezza con cui si decide cosa si vuole automatizzare e a quali condizioni. Uno studio di cinque persone con processi ben definiti può ottenere più valore da un agente AI di uno studio di trenta persone che lo adotta senza una visione precisa. La domanda da farsi non è “siamo pronti per l’AI agentica?” ma “conosciamo abbastanza bene i nostri processi per sapere cosa delegare?”.</w:t>
      </w:r>
    </w:p>
    <w:p>
      <w:pPr>
        <w:spacing w:after="40" w:before="40"/>
        <w:pBdr>
          <w:bottom w:val="single" w:sz="6" w:space="1" w:color="1F497D"/>
        </w:pBdr>
      </w:pPr>
    </w:p>
    <w:p>
      <w:pPr>
        <w:spacing w:before="200"/>
      </w:pPr>
      <w:r>
        <w:rPr>
          <w:rFonts w:ascii="Calibri" w:hAnsi="Calibri"/>
          <w:b/>
          <w:color w:val="606060"/>
          <w:sz w:val="18"/>
        </w:rPr>
        <w:t>Fonti e riferimenti</w:t>
      </w:r>
    </w:p>
    <w:p>
      <w:pPr>
        <w:spacing w:after="40"/>
      </w:pPr>
      <w:r>
        <w:rPr>
          <w:rFonts w:ascii="Calibri" w:hAnsi="Calibri"/>
          <w:color w:val="606060"/>
          <w:sz w:val="17"/>
        </w:rPr>
        <w:t>• Innovami News — AI nelle PMI in Italia: AgenVIO automatizza i processi aziendali (15 aprile 2026)</w:t>
      </w:r>
    </w:p>
    <w:p>
      <w:pPr>
        <w:spacing w:after="40"/>
      </w:pPr>
      <w:r>
        <w:rPr>
          <w:rFonts w:ascii="Calibri" w:hAnsi="Calibri"/>
          <w:color w:val="606060"/>
          <w:sz w:val="17"/>
        </w:rPr>
        <w:t>• Management CUE — Gli agenti AI in azienda: cosa cambierà davvero nel 2026 per le PMI italiane</w:t>
      </w:r>
    </w:p>
    <w:p>
      <w:pPr>
        <w:spacing w:after="40"/>
      </w:pPr>
      <w:r>
        <w:rPr>
          <w:rFonts w:ascii="Calibri" w:hAnsi="Calibri"/>
          <w:color w:val="606060"/>
          <w:sz w:val="17"/>
        </w:rPr>
        <w:t>• AI4Business — Agenti AI e nuove regolamentazioni: il quadro normativo italiano ed europeo 2026 per le imprese</w:t>
      </w:r>
    </w:p>
    <w:p>
      <w:pPr>
        <w:spacing w:after="40"/>
      </w:pPr>
      <w:r>
        <w:rPr>
          <w:rFonts w:ascii="Calibri" w:hAnsi="Calibri"/>
          <w:color w:val="606060"/>
          <w:sz w:val="17"/>
        </w:rPr>
        <w:t>• BitMat — Agenti AI: qual è l’impatto sulle PMI italiane</w:t>
      </w:r>
    </w:p>
    <w:p>
      <w:pPr>
        <w:spacing w:after="40"/>
      </w:pPr>
      <w:r>
        <w:rPr>
          <w:rFonts w:ascii="Calibri" w:hAnsi="Calibri"/>
          <w:color w:val="606060"/>
          <w:sz w:val="17"/>
        </w:rPr>
        <w:t>• Regolamento (UE) 2024/1689 (AI Act) — Requisiti per sistemi AI ad alto rischio, articoli 8-15</w:t>
      </w:r>
    </w:p>
    <w:p>
      <w:pPr>
        <w:spacing w:before="320"/>
        <w:jc w:val="center"/>
      </w:pPr>
      <w:r>
        <w:rPr>
          <w:rFonts w:ascii="Calibri" w:hAnsi="Calibri"/>
          <w:i/>
          <w:color w:val="A0A0A0"/>
          <w:sz w:val="16"/>
        </w:rPr>
        <w:t>© 2026 Ratio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