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Aprile 2026  |  Contabilità e Digitale</w:t>
      </w:r>
    </w:p>
    <w:p/>
    <w:p>
      <w:pPr>
        <w:spacing w:after="120"/>
        <w:jc w:val="left"/>
      </w:pPr>
      <w:r>
        <w:rPr>
          <w:rFonts w:ascii="Calibri" w:hAnsi="Calibri"/>
          <w:b/>
          <w:color w:val="1F497D"/>
          <w:sz w:val="44"/>
        </w:rPr>
        <w:t>La fattura che si registra quasi da sola: a che punto è davvero l’automazione contabile</w:t>
      </w:r>
    </w:p>
    <w:p>
      <w:pPr>
        <w:spacing w:after="200"/>
        <w:jc w:val="left"/>
      </w:pPr>
      <w:r>
        <w:rPr>
          <w:rFonts w:ascii="Calibri" w:hAnsi="Calibri"/>
          <w:i/>
          <w:color w:val="2E74B5"/>
          <w:sz w:val="26"/>
        </w:rPr>
        <w:t>I principali software per studi professionali integrano da mesi funzioni AI per la registrazione automatica delle fatture. Cosa funziona, cosa richiede ancora supervisione, e cosa cambia nel lavoro quotidiano.</w:t>
      </w:r>
    </w:p>
    <w:p>
      <w:pPr>
        <w:spacing w:after="40" w:before="40"/>
        <w:pBdr>
          <w:bottom w:val="single" w:sz="6" w:space="1" w:color="1F497D"/>
        </w:pBdr>
      </w:pPr>
    </w:p>
    <w:p>
      <w:pPr>
        <w:spacing w:after="320"/>
        <w:jc w:val="left"/>
      </w:pPr>
      <w:r>
        <w:rPr>
          <w:rFonts w:ascii="Calibri" w:hAnsi="Calibri"/>
          <w:color w:val="808080"/>
          <w:sz w:val="18"/>
        </w:rPr>
        <w:t>A cura della Redazione Ratio  •  17 aprile 2026</w:t>
      </w:r>
    </w:p>
    <w:p>
      <w:pPr>
        <w:spacing w:after="160" w:before="0" w:line="320" w:lineRule="exact"/>
        <w:jc w:val="both"/>
      </w:pPr>
      <w:r>
        <w:rPr>
          <w:rFonts w:ascii="Calibri" w:hAnsi="Calibri"/>
          <w:i w:val="0"/>
          <w:sz w:val="22"/>
        </w:rPr>
        <w:t>Se lavori in uno studio che ha adottato TeamSystem Studio, Genya o un sistema simile negli ultimi dodici mesi, probabilmente hai già visto la funzione di registrazione automatica delle fatture. La demo del venditore mostrava un documento che si registrava nel giro di pochi secondi, con il conto corretto, il centro di costo giusto, il regime IVA appropriato. In molti casi, funziona così anche nella realtà. In altri casi, la situazione è più sfumata. Capire la differenza è utile per calibrare le aspettative e usare questi strumenti in modo produttivo.</w:t>
      </w:r>
    </w:p>
    <w:p>
      <w:pPr>
        <w:spacing w:after="160" w:before="0" w:line="320" w:lineRule="exact"/>
        <w:jc w:val="both"/>
      </w:pPr>
      <w:r>
        <w:rPr>
          <w:rFonts w:ascii="Calibri" w:hAnsi="Calibri"/>
          <w:i w:val="0"/>
          <w:sz w:val="22"/>
        </w:rPr>
        <w:t>I sistemi AI per la contabilità automatica lavorano bene su fatture ricorrenti: stesso fornitore, stessa categoria merceologica, importi coerenti con la storia del cliente. In questi casi, l’accuratezza della registrazione automatica si avvicina al 90-95% nei test interni dei principali fornitori. Il sistema ha già visto quel fornitore centinaia di volte, conosce i conti associati, e replica il pattern con affidabilità. La velocità è reale, il risparmio di tempo è misurabile.</w:t>
      </w:r>
    </w:p>
    <w:p>
      <w:pPr>
        <w:spacing w:after="160" w:before="0" w:line="320" w:lineRule="exact"/>
        <w:jc w:val="both"/>
      </w:pPr>
      <w:r>
        <w:rPr>
          <w:rFonts w:ascii="Calibri" w:hAnsi="Calibri"/>
          <w:i w:val="0"/>
          <w:sz w:val="22"/>
        </w:rPr>
        <w:t>Dove i sistemi iniziano a vacillare è sulle situazioni non standard: primo accesso a un nuovo fornitore, fatture che includono componenti miste (parte manutenzione, parte acquisto bene), operazioni intracomunitarie con codici IVA specifici, note di credito con storni parziali. In questi casi, l’AI tende a proporre la soluzione statisticamente più probabile, che non è necessariamente quella corretta per il caso specifico. Il professionista che sa riconoscere questi contesti interviene tempestivamente; quello che ha smesso di guardare le registrazioni rischia di accumulare errori silenziosi.</w:t>
      </w:r>
    </w:p>
    <w:p>
      <w:pPr>
        <w:spacing w:before="280" w:after="120"/>
      </w:pPr>
      <w:r>
        <w:rPr>
          <w:rFonts w:ascii="Calibri" w:hAnsi="Calibri"/>
          <w:b/>
          <w:color w:val="1F497D"/>
          <w:sz w:val="26"/>
        </w:rPr>
        <w:t>Il vero cambiamento: dalla registrazione alla gestione delle eccezioni</w:t>
      </w:r>
    </w:p>
    <w:p>
      <w:pPr>
        <w:spacing w:after="160" w:before="0" w:line="320" w:lineRule="exact"/>
        <w:jc w:val="both"/>
      </w:pPr>
      <w:r>
        <w:rPr>
          <w:rFonts w:ascii="Calibri" w:hAnsi="Calibri"/>
          <w:i w:val="0"/>
          <w:sz w:val="22"/>
        </w:rPr>
        <w:t>Il modello operativo che emerge dall’automazione contabile non è la sparizione del lavoro umano, ma il suo spostamento. Chi si occupava di registrare fatture ora si occupa prevalentemente di verificare le registrazioni automatiche, correggere le anomalie e gestire le situazioni che il sistema non sa classificare. È un cambiamento significativo: richiede competenze analitiche, non operative. Il collaboratore che eccelleva nell’inserimento rapido e preciso dei dati non è necessariamente quello che eccelle nel riconoscere perché una registrazione automatica è plausibile ma scorretta. Formare il team su questo tipo di lettura critica è uno degli investimenti più concreti che uno studio può fare oggi.</w:t>
      </w:r>
    </w:p>
    <w:p>
      <w:pPr>
        <w:spacing w:after="160" w:before="0" w:line="320" w:lineRule="exact"/>
        <w:jc w:val="both"/>
      </w:pPr>
      <w:r>
        <w:rPr>
          <w:rFonts w:ascii="Calibri" w:hAnsi="Calibri"/>
          <w:i w:val="0"/>
          <w:sz w:val="22"/>
        </w:rPr>
        <w:t>I dati del mercato confermano questa direzione. Secondo le ultime rilevazioni, il 34% dei commercialisti italiani usa già strumenti AI nella propria attività, con una proiezione di crescita al 72% entro i prossimi tre anni. I sondaggi mostrano che il tempo risparmiato nelle attività di inserimento viene reinvestito in analisi, consulenza e relazione con il cliente. Il che corrisponde esattamente al tipo di valore aggiunto che giustifica la parcella di un professionista, e che i software non potranno mai replicare autonomamente.</w:t>
      </w:r>
    </w:p>
    <w:p>
      <w:pPr>
        <w:spacing w:after="160" w:before="0" w:line="320" w:lineRule="exact"/>
        <w:jc w:val="both"/>
      </w:pPr>
      <w:r>
        <w:rPr>
          <w:rFonts w:ascii="Calibri" w:hAnsi="Calibri"/>
          <w:i w:val="0"/>
          <w:sz w:val="22"/>
        </w:rPr>
        <w:t>Vale la pena anche considerare l’impatto sul personale dello studio. Chi si è formato su lavori di inserimento dati troverà la transizione verso la gestione delle eccezioni naturalmente difficile, non perché manchi di capacità ma perché richiede un tipo diverso di attenzione. Il lavoro di inserimento è ripetitivo ma prevedibile; la gestione delle anomalie richiede giudizio contestuale. Gli studi che hanno affrontato questa transizione con consapevolezza, dedicando tempo alla formazione e al ridisegno dei flussi interni, riferiscono risultati più solidi rispetto a quelli che hanno semplicemente attivato la funzione AI e atteso che il team si adattasse da solo.</w:t>
      </w:r>
    </w:p>
    <w:p>
      <w:pPr>
        <w:spacing w:before="280" w:after="120"/>
      </w:pPr>
      <w:r>
        <w:rPr>
          <w:rFonts w:ascii="Calibri" w:hAnsi="Calibri"/>
          <w:b/>
          <w:color w:val="1F497D"/>
          <w:sz w:val="26"/>
        </w:rPr>
        <w:t>La variabile spesso trascurata: la qualità dei documenti in ingresso</w:t>
      </w:r>
    </w:p>
    <w:p>
      <w:pPr>
        <w:spacing w:after="160" w:before="0" w:line="320" w:lineRule="exact"/>
        <w:jc w:val="both"/>
      </w:pPr>
      <w:r>
        <w:rPr>
          <w:rFonts w:ascii="Calibri" w:hAnsi="Calibri"/>
          <w:i w:val="0"/>
          <w:sz w:val="22"/>
        </w:rPr>
        <w:t>La qualità dei dati in ingresso resta la variabile critica dell’intero sistema. Uno studio che riceve documentazione cartacea scansionata male, fatture con layout non standard o file PDF immagine non leggibili dall’OCR ottiene risultati scadenti anche dai migliori sistemi AI. Prima di investire in automazione contabile, vale la pena analizzare la qualità del flusso documentale con i clienti: spesso il collo di bottiglia non è il software ma il modo in cui arrivano i documenti. Una conversazione con i clienti sulla qualità degli allegati che inviano può migliorare l’efficacia dell’automazione più di qualsiasi aggiornamento del gestionale.</w:t>
      </w:r>
    </w:p>
    <w:p>
      <w:pPr>
        <w:spacing w:after="160" w:before="0" w:line="320" w:lineRule="exact"/>
        <w:jc w:val="both"/>
      </w:pPr>
      <w:r>
        <w:rPr>
          <w:rFonts w:ascii="Calibri" w:hAnsi="Calibri"/>
          <w:i w:val="0"/>
          <w:sz w:val="22"/>
        </w:rPr>
        <w:t>L’automazione contabile basata sull’AI non elimina il bisogno di competenza: lo trasforma. Il valore professionale si sposta dalla capacità di registrare correttamente alla capacità di riconoscere dove l’automazione è affidabile e dove richiede supervisione. Chi impara a fare questa distinzione oggi costruisce un modo di lavorare più efficiente e più sostenibile. Il software non sarà mai perfetto, ma sarà progressivamente migliore: il professionista che lo conosce bene sa dove fidarsene e dove no.</w:t>
      </w:r>
    </w:p>
    <w:p>
      <w:pPr>
        <w:spacing w:after="40" w:before="40"/>
        <w:pBdr>
          <w:bottom w:val="single" w:sz="6" w:space="1" w:color="1F497D"/>
        </w:pBdr>
      </w:pPr>
    </w:p>
    <w:p>
      <w:pPr>
        <w:spacing w:before="200"/>
      </w:pPr>
      <w:r>
        <w:rPr>
          <w:rFonts w:ascii="Calibri" w:hAnsi="Calibri"/>
          <w:b/>
          <w:color w:val="606060"/>
          <w:sz w:val="18"/>
        </w:rPr>
        <w:t>Fonti e riferimenti</w:t>
      </w:r>
    </w:p>
    <w:p>
      <w:pPr>
        <w:spacing w:after="40"/>
      </w:pPr>
      <w:r>
        <w:rPr>
          <w:rFonts w:ascii="Calibri" w:hAnsi="Calibri"/>
          <w:color w:val="606060"/>
          <w:sz w:val="17"/>
        </w:rPr>
        <w:t>• TeamSystem — AI e automazione contabile per studi commercialisti (2026)</w:t>
      </w:r>
    </w:p>
    <w:p>
      <w:pPr>
        <w:spacing w:after="40"/>
      </w:pPr>
      <w:r>
        <w:rPr>
          <w:rFonts w:ascii="Calibri" w:hAnsi="Calibri"/>
          <w:color w:val="606060"/>
          <w:sz w:val="17"/>
        </w:rPr>
        <w:t>• Datalog — Digitalizzazione dei commercialisti: evoluzioni e trend 2026</w:t>
      </w:r>
    </w:p>
    <w:p>
      <w:pPr>
        <w:spacing w:after="40"/>
      </w:pPr>
      <w:r>
        <w:rPr>
          <w:rFonts w:ascii="Calibri" w:hAnsi="Calibri"/>
          <w:color w:val="606060"/>
          <w:sz w:val="17"/>
        </w:rPr>
        <w:t>• Wolters Kluwer — L’intelligenza artificiale trasforma la contabilità: opportunità e sfide</w:t>
      </w:r>
    </w:p>
    <w:p>
      <w:pPr>
        <w:spacing w:after="40"/>
      </w:pPr>
      <w:r>
        <w:rPr>
          <w:rFonts w:ascii="Calibri" w:hAnsi="Calibri"/>
          <w:color w:val="606060"/>
          <w:sz w:val="17"/>
        </w:rPr>
        <w:t>• Professionista Digitale — Contabilità 2026: trend e digitalizzazione studi professionali</w:t>
      </w:r>
    </w:p>
    <w:p>
      <w:pPr>
        <w:spacing w:after="40"/>
      </w:pPr>
      <w:r>
        <w:rPr>
          <w:rFonts w:ascii="Calibri" w:hAnsi="Calibri"/>
          <w:color w:val="606060"/>
          <w:sz w:val="17"/>
        </w:rPr>
        <w:t>• Scuola di Amministrazione Intrapresa — Le 5 novità più importanti nel settore contabile aziendale nel 2026</w:t>
      </w:r>
    </w:p>
    <w:p>
      <w:pPr>
        <w:spacing w:before="320"/>
        <w:jc w:val="center"/>
      </w:pPr>
      <w:r>
        <w:rPr>
          <w:rFonts w:ascii="Calibri" w:hAnsi="Calibri"/>
          <w:i/>
          <w:color w:val="A0A0A0"/>
          <w:sz w:val="16"/>
        </w:rPr>
        <w:t>© 2026 Ratio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