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Aprile 2026  |  Normativa e Professione</w:t>
      </w:r>
    </w:p>
    <w:p/>
    <w:p>
      <w:pPr>
        <w:spacing w:after="120"/>
        <w:jc w:val="left"/>
      </w:pPr>
      <w:r>
        <w:rPr>
          <w:rFonts w:ascii="Calibri" w:hAnsi="Calibri"/>
          <w:b/>
          <w:color w:val="1F497D"/>
          <w:sz w:val="44"/>
        </w:rPr>
        <w:t>Il cliente che chiede se hai usato l’AI: la risposta che la Legge 132 ti impone di avere</w:t>
      </w:r>
    </w:p>
    <w:p>
      <w:pPr>
        <w:spacing w:after="200"/>
        <w:jc w:val="left"/>
      </w:pPr>
      <w:r>
        <w:rPr>
          <w:rFonts w:ascii="Calibri" w:hAnsi="Calibri"/>
          <w:i/>
          <w:color w:val="2E74B5"/>
          <w:sz w:val="26"/>
        </w:rPr>
        <w:t>Dal 2025 informare il cliente sull’uso di strumenti di intelligenza artificiale non è più una scelta comunicativa: è un obbligo di legge, con conseguenze precise.</w:t>
      </w:r>
    </w:p>
    <w:p>
      <w:pPr>
        <w:spacing w:after="40" w:before="40"/>
        <w:pBdr>
          <w:bottom w:val="single" w:sz="6" w:space="1" w:color="1F497D"/>
        </w:pBdr>
      </w:pPr>
    </w:p>
    <w:p>
      <w:pPr>
        <w:spacing w:after="320"/>
        <w:jc w:val="left"/>
      </w:pPr>
      <w:r>
        <w:rPr>
          <w:rFonts w:ascii="Calibri" w:hAnsi="Calibri"/>
          <w:color w:val="808080"/>
          <w:sz w:val="18"/>
        </w:rPr>
        <w:t>A cura della Redazione Ratio  •  17 aprile 2026</w:t>
      </w:r>
    </w:p>
    <w:p>
      <w:pPr>
        <w:spacing w:after="160" w:before="0" w:line="320" w:lineRule="exact"/>
        <w:jc w:val="both"/>
      </w:pPr>
      <w:r>
        <w:rPr>
          <w:rFonts w:ascii="Calibri" w:hAnsi="Calibri"/>
          <w:i w:val="0"/>
          <w:sz w:val="22"/>
        </w:rPr>
        <w:t>Hai ricevuto una telefonata da un cliente che voleva sapere se l’analisi inviatale era stata preparata con l’aiuto di un’intelligenza artificiale. Non era una critica, era curiosità. Probabilmente hai risposto in modo vago, perché non eri sicuro di come inquadrare la questione. Dal secondo semestre del 2025, però, quella risposta vaga non è più un’opzione: la Legge 132 del 2025 stabilisce un obbligo esplicito di informativa per tutti i professionisti intellettuali, commercialisti inclusi.</w:t>
      </w:r>
    </w:p>
    <w:p>
      <w:pPr>
        <w:spacing w:after="160" w:before="0" w:line="320" w:lineRule="exact"/>
        <w:jc w:val="both"/>
      </w:pPr>
      <w:r>
        <w:rPr>
          <w:rFonts w:ascii="Calibri" w:hAnsi="Calibri"/>
          <w:i w:val="0"/>
          <w:sz w:val="22"/>
        </w:rPr>
        <w:t>L’articolo 13 della legge stabilisce che chi esercita una professione intellettuale ha l’obbligo di comunicare al cliente, con linguaggio chiaro, semplice ed esaustivo, quali sistemi di intelligenza artificiale vengono impiegati nell’esecuzione dell’incarico e per quali finalità. L’obbligo non si applica soltanto ai casi in cui l’AI produce il testo finale: vale anche per l’analisi dei dati, la redazione di bozze, la verifica automatica di adempimenti, l’elaborazione di previsioni finanziarie. Se uno strumento AI ha contribuito all’incarico in modo sostanziale, il cliente deve saperlo.</w:t>
      </w:r>
    </w:p>
    <w:p>
      <w:pPr>
        <w:spacing w:after="160" w:before="0" w:line="320" w:lineRule="exact"/>
        <w:jc w:val="both"/>
      </w:pPr>
      <w:r>
        <w:rPr>
          <w:rFonts w:ascii="Calibri" w:hAnsi="Calibri"/>
          <w:i w:val="0"/>
          <w:sz w:val="22"/>
        </w:rPr>
        <w:t>Il Consiglio Nazionale dei Dottori Commercialisti ha già elaborato una clausola contrattuale tipo, disponibile sul sito istituzionale, che i professionisti possono integrare nel mandato professionale. La clausola descrive la tipologia di strumenti utilizzati, le categorie di dati trattati e i limiti della supervisione umana. Non è un adempimento burocratico da far firmare in coda al contratto: è il punto di partenza per un dialogo con il cliente sul perimetro dell’AI nella relazione professionale.</w:t>
      </w:r>
    </w:p>
    <w:p>
      <w:pPr>
        <w:spacing w:after="160" w:before="0" w:line="320" w:lineRule="exact"/>
        <w:jc w:val="both"/>
      </w:pPr>
      <w:r>
        <w:rPr>
          <w:rFonts w:ascii="Calibri" w:hAnsi="Calibri"/>
          <w:i w:val="0"/>
          <w:sz w:val="22"/>
        </w:rPr>
        <w:t>Una precisazione utile: la legge non impone al professionista di ottenere un consenso separato per l’uso dell’AI, né di chiedere approvazione caso per caso. Impone trasparenza. Il cliente deve sapere che l’AI fa parte degli strumenti dello studio, non deve approvare ogni singola query. Questa distinzione è importante perché evita di trasformare l’obbligo in un freno operativo: si informa all’inizio del rapporto, si aggiorna se cambiano le pratiche, si risponde con chiarezza se il cliente chiede.</w:t>
      </w:r>
    </w:p>
    <w:p>
      <w:pPr>
        <w:spacing w:before="280" w:after="120"/>
      </w:pPr>
      <w:r>
        <w:rPr>
          <w:rFonts w:ascii="Calibri" w:hAnsi="Calibri"/>
          <w:b/>
          <w:color w:val="1F497D"/>
          <w:sz w:val="26"/>
        </w:rPr>
        <w:t>L’intreccio con il GDPR e la privacy dei dati</w:t>
      </w:r>
    </w:p>
    <w:p>
      <w:pPr>
        <w:spacing w:after="160" w:before="0" w:line="320" w:lineRule="exact"/>
        <w:jc w:val="both"/>
      </w:pPr>
      <w:r>
        <w:rPr>
          <w:rFonts w:ascii="Calibri" w:hAnsi="Calibri"/>
          <w:i w:val="0"/>
          <w:sz w:val="22"/>
        </w:rPr>
        <w:t>La Legge 132 si sovrappone, in parte, alle disposizioni già esistenti del GDPR. Quando si usano strumenti AI che elaborano dati personali del cliente, come i software di contabilità con intelligenza artificiale integrata, lo studio è tenuto a verificare che il fornitore del servizio abbia sottoscritto un accordo di responsabile del trattamento (il cosiddetto DPA) e che i dati non vengano trasmessi a server extraeuropei senza adeguate garanzie. Molti professionisti usano oggi strumenti AI generalisti per redigere analisi o comunicazioni che contengono, anche indirettamente, dati identificativi dei clienti. Su questo punto la Legge 132 introduce una responsabilità aggiuntiva rispetto a quanto già previsto dalla normativa sulla protezione dei dati.</w:t>
      </w:r>
    </w:p>
    <w:p>
      <w:pPr>
        <w:spacing w:after="160" w:before="0" w:line="320" w:lineRule="exact"/>
        <w:jc w:val="both"/>
      </w:pPr>
      <w:r>
        <w:rPr>
          <w:rFonts w:ascii="Calibri" w:hAnsi="Calibri"/>
          <w:i w:val="0"/>
          <w:sz w:val="22"/>
        </w:rPr>
        <w:t>Nella pratica, l’obbligo informativo si gestisce in modo abbastanza lineare. Chi usa strumenti AI nella propria attività professionale aggiorna il mandato con la clausola tipo, specifica quali categorie di strumenti utilizza (software specializzati, assistenti generalisti, entrambi) e mantiene questa informazione aggiornata se cambia le proprie abitudini operative. Non è necessario comunicare al cliente ogni singola interazione con uno strumento AI: è sufficiente che il perimetro generale sia chiaro all’inizio del rapporto professionale.</w:t>
      </w:r>
    </w:p>
    <w:p>
      <w:pPr>
        <w:spacing w:before="280" w:after="120"/>
      </w:pPr>
      <w:r>
        <w:rPr>
          <w:rFonts w:ascii="Calibri" w:hAnsi="Calibri"/>
          <w:b/>
          <w:color w:val="1F497D"/>
          <w:sz w:val="26"/>
        </w:rPr>
        <w:t>L’obbligo come occasione</w:t>
      </w:r>
    </w:p>
    <w:p>
      <w:pPr>
        <w:spacing w:after="160" w:before="0" w:line="320" w:lineRule="exact"/>
        <w:jc w:val="both"/>
      </w:pPr>
      <w:r>
        <w:rPr>
          <w:rFonts w:ascii="Calibri" w:hAnsi="Calibri"/>
          <w:i w:val="0"/>
          <w:sz w:val="22"/>
        </w:rPr>
        <w:t>Molti professionisti hanno reagito alla Legge 132 come a un ulteriore peso normativo. La prospettiva è comprensibile, ma riduttiva. I clienti che capiscono come lavora il loro professionista, compresi gli strumenti che usa, tendono a fidarsi di più. La trasparenza sull’uso dell’AI può diventare un elemento di posizionamento: lo studio che comunica con chiarezza quali strumenti usa, per quali funzioni e con quale supervisione si distingue dagli studi che tacciono, spesso perché non si sono ancora posti la domanda.</w:t>
      </w:r>
    </w:p>
    <w:p>
      <w:pPr>
        <w:spacing w:after="160" w:before="0" w:line="320" w:lineRule="exact"/>
        <w:jc w:val="both"/>
      </w:pPr>
      <w:r>
        <w:rPr>
          <w:rFonts w:ascii="Calibri" w:hAnsi="Calibri"/>
          <w:i w:val="0"/>
          <w:sz w:val="22"/>
        </w:rPr>
        <w:t>La scadenza di agosto 2026 per i sistemi AI ad alto rischio, prevista dall’AI Act europeo, renderà questo tema ancora più urgente. Il professionista che ha già aggiornato il proprio mandato e ha discusso con il cliente il ruolo dell’AI nel rapporto professionale si troverà in una posizione molto più solida rispetto a chi dovrà fare tutto insieme, sotto pressione normativa. Iniziare adesso costa poco. Aspettare agosto potrebbe costare di più.</w:t>
      </w:r>
    </w:p>
    <w:p>
      <w:pPr>
        <w:spacing w:after="40" w:before="40"/>
        <w:pBdr>
          <w:bottom w:val="single" w:sz="6" w:space="1" w:color="1F497D"/>
        </w:pBdr>
      </w:pPr>
    </w:p>
    <w:p>
      <w:pPr>
        <w:spacing w:before="200"/>
      </w:pPr>
      <w:r>
        <w:rPr>
          <w:rFonts w:ascii="Calibri" w:hAnsi="Calibri"/>
          <w:b/>
          <w:color w:val="606060"/>
          <w:sz w:val="18"/>
        </w:rPr>
        <w:t>Fonti e riferimenti</w:t>
      </w:r>
    </w:p>
    <w:p>
      <w:pPr>
        <w:spacing w:after="40"/>
      </w:pPr>
      <w:r>
        <w:rPr>
          <w:rFonts w:ascii="Calibri" w:hAnsi="Calibri"/>
          <w:color w:val="606060"/>
          <w:sz w:val="17"/>
        </w:rPr>
        <w:t>• Legge 132/2025, art. 13 — Obblighi di trasparenza per l’uso dell’AI da parte dei professionisti intellettuali</w:t>
      </w:r>
    </w:p>
    <w:p>
      <w:pPr>
        <w:spacing w:after="40"/>
      </w:pPr>
      <w:r>
        <w:rPr>
          <w:rFonts w:ascii="Calibri" w:hAnsi="Calibri"/>
          <w:color w:val="606060"/>
          <w:sz w:val="17"/>
        </w:rPr>
        <w:t>• Consiglio Nazionale dei Dottori Commercialisti e degli Esperti Contabili — Clausola contrattuale tipo per l’informativa AI ai clienti (2025)</w:t>
      </w:r>
    </w:p>
    <w:p>
      <w:pPr>
        <w:spacing w:after="40"/>
      </w:pPr>
      <w:r>
        <w:rPr>
          <w:rFonts w:ascii="Calibri" w:hAnsi="Calibri"/>
          <w:color w:val="606060"/>
          <w:sz w:val="17"/>
        </w:rPr>
        <w:t>• EC News — AI Act e Legge n. 132/2025: cosa cambia per i commercialisti</w:t>
      </w:r>
    </w:p>
    <w:p>
      <w:pPr>
        <w:spacing w:after="40"/>
      </w:pPr>
      <w:r>
        <w:rPr>
          <w:rFonts w:ascii="Calibri" w:hAnsi="Calibri"/>
          <w:color w:val="606060"/>
          <w:sz w:val="17"/>
        </w:rPr>
        <w:t>• Agenzie Wolters Kluwer Italia — Legge 132/2025 sull’AI: gli obblighi che già oggi gravano su commercialisti, avvocati e CDL</w:t>
      </w:r>
    </w:p>
    <w:p>
      <w:pPr>
        <w:spacing w:after="40"/>
      </w:pPr>
      <w:r>
        <w:rPr>
          <w:rFonts w:ascii="Calibri" w:hAnsi="Calibri"/>
          <w:color w:val="606060"/>
          <w:sz w:val="17"/>
        </w:rPr>
        <w:t>• Tom's Hardware Business — La doppia compliance che inchioda le imprese italiane all’AI Act (2026)</w:t>
      </w:r>
    </w:p>
    <w:p>
      <w:pPr>
        <w:spacing w:before="320"/>
        <w:jc w:val="center"/>
      </w:pPr>
      <w:r>
        <w:rPr>
          <w:rFonts w:ascii="Calibri" w:hAnsi="Calibri"/>
          <w:i/>
          <w:color w:val="A0A0A0"/>
          <w:sz w:val="16"/>
        </w:rPr>
        <w:t>© 2026 Ratio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