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Professione e Responsabilità</w:t>
      </w:r>
    </w:p>
    <w:p/>
    <w:p>
      <w:pPr>
        <w:spacing w:after="120"/>
        <w:jc w:val="left"/>
      </w:pPr>
      <w:r>
        <w:rPr>
          <w:rFonts w:ascii="Calibri" w:hAnsi="Calibri"/>
          <w:b/>
          <w:color w:val="1F497D"/>
          <w:sz w:val="44"/>
        </w:rPr>
        <w:t>L’AI ha sbagliato la detrazione, il cliente ha pagato la sanzione: la responsabilità non si divide</w:t>
      </w:r>
    </w:p>
    <w:p>
      <w:pPr>
        <w:spacing w:after="200"/>
        <w:jc w:val="left"/>
      </w:pPr>
      <w:r>
        <w:rPr>
          <w:rFonts w:ascii="Calibri" w:hAnsi="Calibri"/>
          <w:i/>
          <w:color w:val="2E74B5"/>
          <w:sz w:val="26"/>
        </w:rPr>
        <w:t>Quando gli strumenti di intelligenza artificiale producono un errore che arriva fino al cliente, la responsabilità professionale resta intera. Nessun software è un’attenuante.</w:t>
      </w:r>
    </w:p>
    <w:p>
      <w:pPr>
        <w:spacing w:after="40" w:before="40"/>
        <w:pBdr>
          <w:bottom w:val="single" w:sz="6" w:space="1" w:color="1F497D"/>
        </w:pBdr>
      </w:pPr>
    </w:p>
    <w:p>
      <w:pPr>
        <w:spacing w:after="320"/>
        <w:jc w:val="left"/>
      </w:pPr>
      <w:r>
        <w:rPr>
          <w:rFonts w:ascii="Calibri" w:hAnsi="Calibri"/>
          <w:color w:val="808080"/>
          <w:sz w:val="18"/>
        </w:rPr>
        <w:t>A cura della Redazione Ratio  •  17 aprile 2026</w:t>
      </w:r>
    </w:p>
    <w:p>
      <w:pPr>
        <w:spacing w:after="160" w:before="0" w:line="320" w:lineRule="exact"/>
        <w:jc w:val="both"/>
      </w:pPr>
      <w:r>
        <w:rPr>
          <w:rFonts w:ascii="Calibri" w:hAnsi="Calibri"/>
          <w:i w:val="0"/>
          <w:sz w:val="22"/>
        </w:rPr>
        <w:t>Un software AI integrato in un gestionale tributario suggerisce il codice errato per una deduzione. Il professionista lo accetta senza verificare, il modello viene firmato e trasmesso. Qualche mese dopo, l’Agenzia delle Entrate contesta la deduzione e irroga una sanzione al cliente. In sede di rivalsa, il professionista prova a indicare l’errore del software come causa concorrente. Non funziona. La giurisprudenza italiana, consolidatasi nel 2025 e 2026, è chiara: l’errore prodotto da un sistema AI non attenua la responsabilità professionale, non la divide, non la trasferisce al fornitore del software.</w:t>
      </w:r>
    </w:p>
    <w:p>
      <w:pPr>
        <w:spacing w:after="160" w:before="0" w:line="320" w:lineRule="exact"/>
        <w:jc w:val="both"/>
      </w:pPr>
      <w:r>
        <w:rPr>
          <w:rFonts w:ascii="Calibri" w:hAnsi="Calibri"/>
          <w:i w:val="0"/>
          <w:sz w:val="22"/>
        </w:rPr>
        <w:t>Il principio ha radici nella struttura stessa della responsabilità professionale. Il commercialista, l’avvocato, il consulente del lavoro sono chiamati a rispondere del risultato della propria prestazione intellettuale. Quando decidono di avvalersi di strumenti automatizzati, inclusi i sistemi AI, non trasferiscono questa responsabilità al produttore dello strumento: la mantengono, aggiungendo però l’obbligo di verificare che l’output dello strumento sia corretto. L’ordinanza della Cassazione del 12 marzo 2026, n. 5635, ha ribadito questo principio in un caso di tenuta della contabilità, chiarendo che l’automazione del processo non esime il professionista dalla responsabilità sull’esattezza del risultato.</w:t>
      </w:r>
    </w:p>
    <w:p>
      <w:pPr>
        <w:spacing w:before="280" w:after="120"/>
      </w:pPr>
      <w:r>
        <w:rPr>
          <w:rFonts w:ascii="Calibri" w:hAnsi="Calibri"/>
          <w:b/>
          <w:color w:val="1F497D"/>
          <w:sz w:val="26"/>
        </w:rPr>
        <w:t>Il problema concreto della verifica</w:t>
      </w:r>
    </w:p>
    <w:p>
      <w:pPr>
        <w:spacing w:after="160" w:before="0" w:line="320" w:lineRule="exact"/>
        <w:jc w:val="both"/>
      </w:pPr>
      <w:r>
        <w:rPr>
          <w:rFonts w:ascii="Calibri" w:hAnsi="Calibri"/>
          <w:i w:val="0"/>
          <w:sz w:val="22"/>
        </w:rPr>
        <w:t>La questione pratica è questa: come si verifica l’output di un sistema AI in modo che la verifica sia effettiva e non solo formale? Non è sufficiente leggere il risultato e considerarlo plausibile. Una supervisione adeguata implica comprendere il ragionamento seguito dallo strumento quando è reso visibile, confrontare l’output con fonti normative primarie nei casi dubbi, e mantenere la propria capacità di giudizio autonomo anche sulle operazioni routinarie. Il paradosso è che l’AI, usata in modo superficiale, può degradare proprio quella capacità di giudizio: se il professionista smette di fare certe verifiche perché ci pensa il software, perde progressivamente la competenza necessaria per accorgersi quando il software sbaglia.</w:t>
      </w:r>
    </w:p>
    <w:p>
      <w:pPr>
        <w:spacing w:after="160" w:before="0" w:line="320" w:lineRule="exact"/>
        <w:jc w:val="both"/>
      </w:pPr>
      <w:r>
        <w:rPr>
          <w:rFonts w:ascii="Calibri" w:hAnsi="Calibri"/>
          <w:i w:val="0"/>
          <w:sz w:val="22"/>
        </w:rPr>
        <w:t>Alcune compagnie assicurative stanno aggiornando le polizze di responsabilità professionale per includere esplicitamente l’uso di strumenti AI tra i fattori di rischio valutati. Dichiarare di utilizzare strumenti AI senza un protocollo di verifica strutturato potrebbe influire sulle condizioni della copertura. Non si tratta ancora di una prassi uniforme di mercato, ma la direzione è chiara e i rinnovi 2026 stanno già iniziando a riflettere questa sensibilità.</w:t>
      </w:r>
    </w:p>
    <w:p>
      <w:pPr>
        <w:spacing w:after="160" w:before="0" w:line="320" w:lineRule="exact"/>
        <w:jc w:val="both"/>
      </w:pPr>
      <w:r>
        <w:rPr>
          <w:rFonts w:ascii="Calibri" w:hAnsi="Calibri"/>
          <w:i w:val="0"/>
          <w:sz w:val="22"/>
        </w:rPr>
        <w:t>Un protocollo di verifica non deve essere elaborato: può essere semplice, purché sistematico. Definire quali categorie di output AI richiedono verifica su fonte primaria (interpretazioni normative, aliquote, codici specifici), quali possono essere accettati dopo una lettura attenta, e quali vanno sempre rielaborati dal professionista indipendentemente da quanto sembri attendibile il suggerimento automatico. Documentare questa procedura internamente allo studio è il primo passo per trasformarla da intenzione in pratica.</w:t>
      </w:r>
    </w:p>
    <w:p>
      <w:pPr>
        <w:spacing w:after="160" w:before="0" w:line="320" w:lineRule="exact"/>
        <w:jc w:val="both"/>
      </w:pPr>
      <w:r>
        <w:rPr>
          <w:rFonts w:ascii="Calibri" w:hAnsi="Calibri"/>
          <w:i w:val="0"/>
          <w:sz w:val="22"/>
        </w:rPr>
        <w:t>Ci sono però differenze rilevanti tra le varie categorie di strumenti. Un software tributario verticale, addestrato su normativa italiana e aggiornato periodicamente dal produttore, offre garanzie diverse rispetto a un modello linguistico generalista usato per interpretare una circolare. Nel primo caso, il professionista può contare su un sistema che il fornitore certifica e aggiorna. Nel secondo caso, la verifica è completamente a suo carico. Sapere quale tipo di strumento si sta usando, e cosa garantisce ciascuno, è il prerequisito per costruire un protocollo di verifica sensato.</w:t>
      </w:r>
    </w:p>
    <w:p>
      <w:pPr>
        <w:spacing w:before="280" w:after="120"/>
      </w:pPr>
      <w:r>
        <w:rPr>
          <w:rFonts w:ascii="Calibri" w:hAnsi="Calibri"/>
          <w:b/>
          <w:color w:val="1F497D"/>
          <w:sz w:val="26"/>
        </w:rPr>
        <w:t>Il dato che mette a fuoco il rischio</w:t>
      </w:r>
    </w:p>
    <w:p>
      <w:pPr>
        <w:spacing w:after="160" w:before="0" w:line="320" w:lineRule="exact"/>
        <w:jc w:val="both"/>
      </w:pPr>
      <w:r>
        <w:rPr>
          <w:rFonts w:ascii="Calibri" w:hAnsi="Calibri"/>
          <w:i w:val="0"/>
          <w:sz w:val="22"/>
        </w:rPr>
        <w:t>Ricerche recenti indicano che i modelli linguistici generalisti producono risposte errate nel 50% o più dei casi quando interrogati su questioni giuridiche specifiche. I software verticali, addestrati su dati fiscali italiani, hanno tassi di errore più bassi, ma non trascurabili, specialmente in presenza di interpretazioni normative recenti o di situazioni non standard. Il professionista che tratta questi strumenti come assistenti infallibili sta assumendo un rischio che la normativa e la giurisprudenza scaricano interamente su di lui.</w:t>
      </w:r>
    </w:p>
    <w:p>
      <w:pPr>
        <w:spacing w:after="160" w:before="0" w:line="320" w:lineRule="exact"/>
        <w:jc w:val="both"/>
      </w:pPr>
      <w:r>
        <w:rPr>
          <w:rFonts w:ascii="Calibri" w:hAnsi="Calibri"/>
          <w:i w:val="0"/>
          <w:sz w:val="22"/>
        </w:rPr>
        <w:t>L’AI usata bene nello studio non riduce la responsabilità professionale: la redistribuisce verso le attività in cui il giudizio umano fa davvero la differenza. Il valore non sta nell’automatizzare tutto, ma nell’automatizzare quello che può essere automatizzato con sicurezza, mantenendo un presidio attivo su tutto il resto. Capire dove sta questo confine, nel proprio contesto specifico, è la competenza professionale più rilevante per chiunque lavori oggi con strumenti AI.</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Cassazione civile, ordinanza 12 marzo 2026 n. 5635 — Responsabilità del commercialista nella tenuta della contabilità</w:t>
      </w:r>
    </w:p>
    <w:p>
      <w:pPr>
        <w:spacing w:after="40"/>
      </w:pPr>
      <w:r>
        <w:rPr>
          <w:rFonts w:ascii="Calibri" w:hAnsi="Calibri"/>
          <w:color w:val="606060"/>
          <w:sz w:val="17"/>
        </w:rPr>
        <w:t>• Il Fatto Quotidiano — I professionisti che usano l’AI hanno l’obbligo di informare i clienti e sono responsabili degli errori (28 marzo 2026)</w:t>
      </w:r>
    </w:p>
    <w:p>
      <w:pPr>
        <w:spacing w:after="40"/>
      </w:pPr>
      <w:r>
        <w:rPr>
          <w:rFonts w:ascii="Calibri" w:hAnsi="Calibri"/>
          <w:color w:val="606060"/>
          <w:sz w:val="17"/>
        </w:rPr>
        <w:t>• EC News — Intelligenza Artificiale e professioni intellettuali: l’obbligo di trasparenza verso il cliente</w:t>
      </w:r>
    </w:p>
    <w:p>
      <w:pPr>
        <w:spacing w:after="40"/>
      </w:pPr>
      <w:r>
        <w:rPr>
          <w:rFonts w:ascii="Calibri" w:hAnsi="Calibri"/>
          <w:color w:val="606060"/>
          <w:sz w:val="17"/>
        </w:rPr>
        <w:t>• KTS Finance — Assicurazione professionale commercialisti e IA: i rischi del 730/2026</w:t>
      </w:r>
    </w:p>
    <w:p>
      <w:pPr>
        <w:spacing w:after="40"/>
      </w:pPr>
      <w:r>
        <w:rPr>
          <w:rFonts w:ascii="Calibri" w:hAnsi="Calibri"/>
          <w:color w:val="606060"/>
          <w:sz w:val="17"/>
        </w:rPr>
        <w:t>• Stanford Institute for Human-Centered AI — Accuracy of LLMs on legal questions (2025)</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