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18EB" w14:textId="1D829EBF" w:rsidR="00EC1419" w:rsidRPr="00FA5068" w:rsidRDefault="00FA5068" w:rsidP="00AF53D5">
      <w:pPr>
        <w:jc w:val="both"/>
        <w:rPr>
          <w:b/>
          <w:bCs/>
          <w:sz w:val="32"/>
          <w:szCs w:val="32"/>
        </w:rPr>
      </w:pPr>
      <w:r w:rsidRPr="00FA5068">
        <w:rPr>
          <w:b/>
          <w:bCs/>
          <w:sz w:val="32"/>
          <w:szCs w:val="32"/>
        </w:rPr>
        <w:t>L’Ateco determina la convenienza del forfettario</w:t>
      </w:r>
    </w:p>
    <w:p w14:paraId="758C0EC4" w14:textId="6680FF4E" w:rsidR="00681075" w:rsidRDefault="00681075" w:rsidP="00AF53D5">
      <w:pPr>
        <w:jc w:val="both"/>
        <w:rPr>
          <w:i/>
          <w:iCs/>
        </w:rPr>
      </w:pPr>
      <w:r w:rsidRPr="00681075">
        <w:rPr>
          <w:i/>
          <w:iCs/>
        </w:rPr>
        <w:t>Il regime forfettario rappresenta una delle opzioni fiscali più diffuse tra i contribuenti di minori dimensioni, grazie a un’imposizione semplificata e alla possibilità di beneficiare di un’imposta sostitutiva agevolata. Tuttavia, la reale convenienza non può essere valutata in modo astratto ma deve tener conto di molteplici fattori, primo fra tutti il codice Ateco adottato</w:t>
      </w:r>
      <w:r w:rsidR="005A26C0">
        <w:rPr>
          <w:i/>
          <w:iCs/>
        </w:rPr>
        <w:t xml:space="preserve">, tenuto anche degli aggiornamenti </w:t>
      </w:r>
      <w:r w:rsidR="00FB5EA4">
        <w:rPr>
          <w:i/>
          <w:iCs/>
        </w:rPr>
        <w:t>entrati recentemente in vigore</w:t>
      </w:r>
      <w:r w:rsidRPr="00681075">
        <w:rPr>
          <w:i/>
          <w:iCs/>
        </w:rPr>
        <w:t>. Il coefficiente di redditività, infatti, incide direttamente sulla base imponibile e può determinare differenze sostanziali nel carico fiscale. Attraverso un’analisi comparativa condotta con il supporto del tool “</w:t>
      </w:r>
      <w:r w:rsidR="009902B3" w:rsidRPr="009902B3">
        <w:rPr>
          <w:i/>
          <w:iCs/>
        </w:rPr>
        <w:t>Convenienza_Forfettari_24</w:t>
      </w:r>
      <w:r w:rsidRPr="00681075">
        <w:rPr>
          <w:i/>
          <w:iCs/>
        </w:rPr>
        <w:t>”, l’articolo evidenzia come, a parità di ricavi, l’applicazione del regime possa produrre effetti molto diversi a seconda dell’attività svolta.</w:t>
      </w:r>
    </w:p>
    <w:p w14:paraId="75710E29" w14:textId="77777777" w:rsidR="00DD3F33" w:rsidRPr="00DD3F33" w:rsidRDefault="00DD3F33" w:rsidP="00AF53D5">
      <w:pPr>
        <w:jc w:val="both"/>
      </w:pPr>
      <w:r w:rsidRPr="00DD3F33">
        <w:rPr>
          <w:b/>
          <w:bCs/>
        </w:rPr>
        <w:t>Il Regime Forfettario: struttura e implicazioni fiscali</w:t>
      </w:r>
    </w:p>
    <w:p w14:paraId="24925BA2" w14:textId="47428363" w:rsidR="00AF53D5" w:rsidRPr="00AF53D5" w:rsidRDefault="00AF53D5" w:rsidP="00BA401B">
      <w:pPr>
        <w:jc w:val="both"/>
      </w:pPr>
      <w:r w:rsidRPr="00AF53D5">
        <w:t xml:space="preserve">Il regime forfettario, introdotto in via stabile dal 2015 e modificato nel 2019, è oggi una delle principali modalità di determinazione del reddito per professionisti e piccole imprese con ricavi o compensi fino a 85.000 euro. Consente l’applicazione di un’imposta sostitutiva del 15%, ridotta al 5% per i primi cinque anni di attività, in sostituzione di Irpef, addizionali e Irap. La semplicità è uno degli aspetti più attrattivi del regime: niente IVA, niente ritenute, esclusione dagli ISA e un calcolo del reddito basato su un coefficiente di redditività applicato ai ricavi. </w:t>
      </w:r>
      <w:r w:rsidR="00BA401B" w:rsidRPr="00BA401B">
        <w:t xml:space="preserve">Il meccanismo può generare effetti diversi a seconda del codice Ateco applicato. </w:t>
      </w:r>
    </w:p>
    <w:p w14:paraId="7B57A69E" w14:textId="6C965A45" w:rsidR="007A1C57" w:rsidRDefault="002031F7" w:rsidP="000222DF">
      <w:pPr>
        <w:jc w:val="both"/>
      </w:pPr>
      <w:r w:rsidRPr="002031F7">
        <w:t>Il regime forfettario determina il reddito imponibile senza considerare i costi reali. I coefficienti di redditività variano in base all’attività, per esempio, 86% per l’edilizia e 67% per alcune attività artigianali</w:t>
      </w:r>
      <w:r w:rsidR="000222DF">
        <w:t xml:space="preserve"> e di </w:t>
      </w:r>
      <w:proofErr w:type="gramStart"/>
      <w:r w:rsidR="000222DF">
        <w:t>servizio</w:t>
      </w:r>
      <w:proofErr w:type="gramEnd"/>
      <w:r w:rsidR="000222DF">
        <w:t xml:space="preserve"> tra cui </w:t>
      </w:r>
      <w:r w:rsidR="007A1C57">
        <w:t xml:space="preserve">il chiacchieratissimo </w:t>
      </w:r>
      <w:r w:rsidR="000222DF">
        <w:t>96.99.92 riservato ai "Servizi di incontro ed eventi simili"</w:t>
      </w:r>
      <w:r w:rsidR="00623237">
        <w:t>.</w:t>
      </w:r>
    </w:p>
    <w:p w14:paraId="1DD22919" w14:textId="69A1B2DD" w:rsidR="00AF53D5" w:rsidRPr="002031F7" w:rsidRDefault="002031F7" w:rsidP="00DD5948">
      <w:pPr>
        <w:jc w:val="both"/>
      </w:pPr>
      <w:r w:rsidRPr="002031F7">
        <w:t xml:space="preserve">Sul reddito determinato si applica l’imposta sostitutiva, con deduzione integrale dei contributi previdenziali obbligatori. La gestione previdenziale (Inps gestione separata, artigiani e commercianti, casse professionali) influisce sul risultato finale. </w:t>
      </w:r>
    </w:p>
    <w:p w14:paraId="001A9058" w14:textId="1B22EB3F" w:rsidR="00956D4B" w:rsidRDefault="00DD5948" w:rsidP="00AF53D5">
      <w:pPr>
        <w:keepNext/>
        <w:jc w:val="both"/>
      </w:pPr>
      <w:r>
        <w:t xml:space="preserve">Per comprendere sul campo </w:t>
      </w:r>
      <w:r w:rsidR="00711460">
        <w:t xml:space="preserve">il funzionamento del regime, abbiamo sottoposto al </w:t>
      </w:r>
      <w:r w:rsidR="00711460" w:rsidRPr="009902B3">
        <w:rPr>
          <w:i/>
          <w:iCs/>
        </w:rPr>
        <w:t>Convenienza_Forfettari_24</w:t>
      </w:r>
      <w:r w:rsidR="00711460">
        <w:rPr>
          <w:i/>
          <w:iCs/>
        </w:rPr>
        <w:t xml:space="preserve"> </w:t>
      </w:r>
      <w:r w:rsidR="00711460">
        <w:t>tre differenti casi:</w:t>
      </w:r>
      <w:r w:rsidR="00404067">
        <w:t xml:space="preserve"> </w:t>
      </w:r>
      <w:r w:rsidR="00956D4B" w:rsidRPr="00956D4B">
        <w:t xml:space="preserve">un consulente informatico (Ateco 62.20.10), un commerciante al dettaglio di abbigliamento (Ateco 47.71.10) e un </w:t>
      </w:r>
      <w:r w:rsidR="001C6D1B">
        <w:t xml:space="preserve">muratore </w:t>
      </w:r>
      <w:r w:rsidR="00956D4B" w:rsidRPr="00956D4B">
        <w:t xml:space="preserve">(Ateco </w:t>
      </w:r>
      <w:r w:rsidR="001C6D1B">
        <w:t>43</w:t>
      </w:r>
      <w:r w:rsidR="00956D4B" w:rsidRPr="00956D4B">
        <w:t>.</w:t>
      </w:r>
      <w:r w:rsidR="001C6D1B">
        <w:t>91</w:t>
      </w:r>
      <w:r w:rsidR="00956D4B" w:rsidRPr="00956D4B">
        <w:t>.</w:t>
      </w:r>
      <w:r w:rsidR="001C6D1B">
        <w:t>00</w:t>
      </w:r>
      <w:r w:rsidR="00956D4B" w:rsidRPr="00956D4B">
        <w:t xml:space="preserve">) che ha sostenuto spese agevolate con il Superbonus 110%, senza optare per lo sconto in fattura o la cessione del credito. Tutti e tre i soggetti sono residenti a Milano e, ai fini del calcolo del reddito netto effettivo, si ipotizzano </w:t>
      </w:r>
      <w:r w:rsidR="00180A94">
        <w:t xml:space="preserve">ricavi pari a 60.000,00 e </w:t>
      </w:r>
      <w:r w:rsidR="00956D4B" w:rsidRPr="00956D4B">
        <w:t xml:space="preserve">costi sostenuti pari a </w:t>
      </w:r>
      <w:r w:rsidR="00237392">
        <w:t>15</w:t>
      </w:r>
      <w:r w:rsidR="00956D4B" w:rsidRPr="00956D4B">
        <w:t>.000 euro per il consulente</w:t>
      </w:r>
      <w:r w:rsidR="00237392">
        <w:t>, 36.000</w:t>
      </w:r>
      <w:r w:rsidR="00956D4B" w:rsidRPr="00956D4B">
        <w:t xml:space="preserve"> per il </w:t>
      </w:r>
      <w:r w:rsidR="00237392">
        <w:t xml:space="preserve">commerciante al dettaglio </w:t>
      </w:r>
      <w:proofErr w:type="gramStart"/>
      <w:r w:rsidR="00956D4B" w:rsidRPr="00956D4B">
        <w:t xml:space="preserve">e  </w:t>
      </w:r>
      <w:r w:rsidR="001C6D1B">
        <w:t>15</w:t>
      </w:r>
      <w:r w:rsidR="00956D4B" w:rsidRPr="00956D4B">
        <w:t>.000</w:t>
      </w:r>
      <w:proofErr w:type="gramEnd"/>
      <w:r w:rsidR="00956D4B" w:rsidRPr="00956D4B">
        <w:t xml:space="preserve"> euro per il commerciante.</w:t>
      </w:r>
    </w:p>
    <w:p w14:paraId="3374BA28" w14:textId="77777777" w:rsidR="00066F26" w:rsidRDefault="00066F26" w:rsidP="00AF53D5">
      <w:pPr>
        <w:jc w:val="both"/>
        <w:rPr>
          <w:b/>
          <w:bCs/>
        </w:rPr>
      </w:pPr>
    </w:p>
    <w:p w14:paraId="1280A3CA" w14:textId="77777777" w:rsidR="00066F26" w:rsidRDefault="00066F26" w:rsidP="00AF53D5">
      <w:pPr>
        <w:jc w:val="both"/>
        <w:rPr>
          <w:b/>
          <w:bCs/>
        </w:rPr>
      </w:pPr>
    </w:p>
    <w:p w14:paraId="7613868D" w14:textId="77777777" w:rsidR="00066F26" w:rsidRDefault="00066F26">
      <w:pPr>
        <w:rPr>
          <w:b/>
          <w:bCs/>
        </w:rPr>
      </w:pPr>
      <w:r>
        <w:rPr>
          <w:b/>
          <w:bCs/>
        </w:rPr>
        <w:br w:type="page"/>
      </w:r>
    </w:p>
    <w:p w14:paraId="65A918B5" w14:textId="6C182A16" w:rsidR="0040561A" w:rsidRPr="0040561A" w:rsidRDefault="0040561A" w:rsidP="00AF53D5">
      <w:pPr>
        <w:jc w:val="both"/>
        <w:rPr>
          <w:b/>
          <w:bCs/>
        </w:rPr>
      </w:pPr>
      <w:r w:rsidRPr="0040561A">
        <w:rPr>
          <w:b/>
          <w:bCs/>
        </w:rPr>
        <w:lastRenderedPageBreak/>
        <w:t>Caso 1: Consulente informatico</w:t>
      </w:r>
    </w:p>
    <w:p w14:paraId="0B48B235" w14:textId="204593D8" w:rsidR="00447C5C" w:rsidRDefault="004C390A" w:rsidP="00AF53D5">
      <w:pPr>
        <w:keepNext/>
        <w:jc w:val="both"/>
      </w:pPr>
      <w:r w:rsidRPr="004C390A">
        <w:rPr>
          <w:noProof/>
        </w:rPr>
        <w:drawing>
          <wp:inline distT="0" distB="0" distL="0" distR="0" wp14:anchorId="11E0CD0A" wp14:editId="1C6CCB3B">
            <wp:extent cx="6120130" cy="2439035"/>
            <wp:effectExtent l="19050" t="19050" r="13970" b="18415"/>
            <wp:docPr id="147076396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2439035"/>
                    </a:xfrm>
                    <a:prstGeom prst="rect">
                      <a:avLst/>
                    </a:prstGeom>
                    <a:noFill/>
                    <a:ln>
                      <a:solidFill>
                        <a:schemeClr val="tx1"/>
                      </a:solidFill>
                    </a:ln>
                  </pic:spPr>
                </pic:pic>
              </a:graphicData>
            </a:graphic>
          </wp:inline>
        </w:drawing>
      </w:r>
    </w:p>
    <w:p w14:paraId="60D3D5FE" w14:textId="13AAEC5E" w:rsidR="00447C5C" w:rsidRDefault="00447C5C" w:rsidP="00AF53D5">
      <w:pPr>
        <w:pStyle w:val="Didascalia"/>
        <w:jc w:val="both"/>
      </w:pPr>
      <w:r>
        <w:t xml:space="preserve">Figura </w:t>
      </w:r>
      <w:fldSimple w:instr=" SEQ Figura \* ARABIC ">
        <w:r w:rsidR="00BF0942">
          <w:rPr>
            <w:noProof/>
          </w:rPr>
          <w:t>1</w:t>
        </w:r>
      </w:fldSimple>
      <w:r>
        <w:t xml:space="preserve">: </w:t>
      </w:r>
      <w:r w:rsidR="00EE3F9F">
        <w:t>Confronto del r</w:t>
      </w:r>
      <w:r>
        <w:t>eddito imponibile</w:t>
      </w:r>
      <w:r w:rsidR="0040561A">
        <w:t xml:space="preserve"> </w:t>
      </w:r>
      <w:r w:rsidR="00420641">
        <w:t xml:space="preserve">del consulente informatico </w:t>
      </w:r>
      <w:r w:rsidR="00EE3F9F">
        <w:t>nei casi di regime ordinario o forfettario</w:t>
      </w:r>
    </w:p>
    <w:p w14:paraId="038AFBD4" w14:textId="1EB925A3" w:rsidR="001B5270" w:rsidRDefault="00D9002A" w:rsidP="00D9002A">
      <w:pPr>
        <w:jc w:val="both"/>
      </w:pPr>
      <w:r w:rsidRPr="00D9002A">
        <w:t xml:space="preserve">Poiché i costi deducibili sono il 25% del reddito contro il 33% di deduzione forfettaria del regime, </w:t>
      </w:r>
      <w:r>
        <w:t>emerge</w:t>
      </w:r>
      <w:r w:rsidRPr="00D9002A">
        <w:t xml:space="preserve"> una convenienza indipendente dall'aliquota applicata. Questa verifica è utile per valutare la convenienza del regime: se i costi deducibili non superano quelli forfettari su un reddito presunto, si ottiene già un </w:t>
      </w:r>
      <w:r w:rsidR="00D36F96">
        <w:t>primo</w:t>
      </w:r>
      <w:r w:rsidRPr="00D9002A">
        <w:t xml:space="preserve"> indizio di convenienza.</w:t>
      </w:r>
    </w:p>
    <w:p w14:paraId="55D673AD" w14:textId="004C2097" w:rsidR="00447C5C" w:rsidRDefault="00EE3F9F" w:rsidP="00AF53D5">
      <w:pPr>
        <w:jc w:val="both"/>
      </w:pPr>
      <w:r>
        <w:t xml:space="preserve">A prescindere dal regime sul reddito </w:t>
      </w:r>
      <w:r w:rsidR="00A239C3" w:rsidRPr="00A239C3">
        <w:t>si calcolano i contributi INPS alla Gestione Separata (26,07%)</w:t>
      </w:r>
      <w:r w:rsidR="009F19C8">
        <w:t xml:space="preserve"> sul reddito calcolato.</w:t>
      </w:r>
      <w:r w:rsidR="00A239C3" w:rsidRPr="00A239C3">
        <w:t xml:space="preserve"> </w:t>
      </w:r>
    </w:p>
    <w:p w14:paraId="65CC9CD0" w14:textId="0C16698D" w:rsidR="00447C5C" w:rsidRDefault="00C45E33" w:rsidP="00AF53D5">
      <w:pPr>
        <w:keepNext/>
        <w:jc w:val="both"/>
      </w:pPr>
      <w:r w:rsidRPr="00C45E33">
        <w:rPr>
          <w:noProof/>
        </w:rPr>
        <w:drawing>
          <wp:inline distT="0" distB="0" distL="0" distR="0" wp14:anchorId="52DBFBF2" wp14:editId="489D5F5C">
            <wp:extent cx="6120130" cy="1189355"/>
            <wp:effectExtent l="0" t="0" r="0" b="0"/>
            <wp:docPr id="1084058653"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58653" name="Immagine 1" descr="Immagine che contiene testo, Carattere, linea, schermata&#10;&#10;Il contenuto generato dall'IA potrebbe non essere corretto."/>
                    <pic:cNvPicPr/>
                  </pic:nvPicPr>
                  <pic:blipFill>
                    <a:blip r:embed="rId8"/>
                    <a:stretch>
                      <a:fillRect/>
                    </a:stretch>
                  </pic:blipFill>
                  <pic:spPr>
                    <a:xfrm>
                      <a:off x="0" y="0"/>
                      <a:ext cx="6120130" cy="1189355"/>
                    </a:xfrm>
                    <a:prstGeom prst="rect">
                      <a:avLst/>
                    </a:prstGeom>
                  </pic:spPr>
                </pic:pic>
              </a:graphicData>
            </a:graphic>
          </wp:inline>
        </w:drawing>
      </w:r>
    </w:p>
    <w:p w14:paraId="4132D03A" w14:textId="551D291D" w:rsidR="00447C5C" w:rsidRDefault="00447C5C" w:rsidP="00AF53D5">
      <w:pPr>
        <w:pStyle w:val="Didascalia"/>
        <w:jc w:val="both"/>
      </w:pPr>
      <w:r>
        <w:t xml:space="preserve">Figura </w:t>
      </w:r>
      <w:fldSimple w:instr=" SEQ Figura \* ARABIC ">
        <w:r w:rsidR="00BF0942">
          <w:rPr>
            <w:noProof/>
          </w:rPr>
          <w:t>2</w:t>
        </w:r>
      </w:fldSimple>
      <w:r>
        <w:t>: Contributi Inps gestione separata</w:t>
      </w:r>
      <w:r w:rsidR="00420641">
        <w:t xml:space="preserve"> del consulente informatico</w:t>
      </w:r>
    </w:p>
    <w:p w14:paraId="4A467D45" w14:textId="769F9B35" w:rsidR="00A239C3" w:rsidRDefault="00285B03" w:rsidP="00AF53D5">
      <w:pPr>
        <w:jc w:val="both"/>
      </w:pPr>
      <w:r>
        <w:t xml:space="preserve">Il </w:t>
      </w:r>
      <w:r w:rsidR="00A239C3" w:rsidRPr="00A239C3">
        <w:t xml:space="preserve">forfettario non </w:t>
      </w:r>
      <w:r>
        <w:t>prevede naturalmente alcuna</w:t>
      </w:r>
      <w:r w:rsidR="00A239C3" w:rsidRPr="00A239C3">
        <w:t xml:space="preserve"> detrazione, né si applicano addizionali IRPEF, in quanto sostituite dall’imposta unica</w:t>
      </w:r>
      <w:r w:rsidR="00FD7BE7">
        <w:t>.</w:t>
      </w:r>
    </w:p>
    <w:p w14:paraId="270F6A91" w14:textId="53B35BC3" w:rsidR="00FD7BE7" w:rsidRDefault="004E3D74" w:rsidP="004E3D74">
      <w:r w:rsidRPr="004E3D74">
        <w:t>Se l’impossibilità di considerare le detrazioni può comportare la perdita di un beneficio, l’assenza di addizionali incide sulla convenienza del regime.</w:t>
      </w:r>
    </w:p>
    <w:p w14:paraId="4636F13F" w14:textId="77777777" w:rsidR="00FD7BE7" w:rsidRDefault="00FD7BE7" w:rsidP="00AF53D5">
      <w:pPr>
        <w:jc w:val="both"/>
      </w:pPr>
    </w:p>
    <w:p w14:paraId="55CBF000" w14:textId="05CCA661" w:rsidR="00B153D5" w:rsidRDefault="00285B03" w:rsidP="00AF53D5">
      <w:pPr>
        <w:keepNext/>
        <w:jc w:val="both"/>
      </w:pPr>
      <w:r>
        <w:rPr>
          <w:noProof/>
        </w:rPr>
        <w:lastRenderedPageBreak/>
        <w:drawing>
          <wp:inline distT="0" distB="0" distL="0" distR="0" wp14:anchorId="3D239573" wp14:editId="6505BF79">
            <wp:extent cx="6146318" cy="1876807"/>
            <wp:effectExtent l="0" t="0" r="6985" b="9525"/>
            <wp:docPr id="156435682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1098" cy="1890481"/>
                    </a:xfrm>
                    <a:prstGeom prst="rect">
                      <a:avLst/>
                    </a:prstGeom>
                    <a:noFill/>
                  </pic:spPr>
                </pic:pic>
              </a:graphicData>
            </a:graphic>
          </wp:inline>
        </w:drawing>
      </w:r>
    </w:p>
    <w:p w14:paraId="6C2A0138" w14:textId="214C187F" w:rsidR="00447C5C" w:rsidRPr="00A239C3" w:rsidRDefault="00B153D5" w:rsidP="00AF53D5">
      <w:pPr>
        <w:pStyle w:val="Didascalia"/>
        <w:jc w:val="both"/>
      </w:pPr>
      <w:r>
        <w:t xml:space="preserve">Figura </w:t>
      </w:r>
      <w:fldSimple w:instr=" SEQ Figura \* ARABIC ">
        <w:r w:rsidR="00BF0942">
          <w:rPr>
            <w:noProof/>
          </w:rPr>
          <w:t>3</w:t>
        </w:r>
      </w:fldSimple>
      <w:r>
        <w:t>: Calcolo compenso netto e totale imposte e contributi</w:t>
      </w:r>
    </w:p>
    <w:p w14:paraId="3FC67A41" w14:textId="39DFB3B9" w:rsidR="004E3D74" w:rsidRDefault="00373E90" w:rsidP="00373E90">
      <w:pPr>
        <w:jc w:val="both"/>
      </w:pPr>
      <w:r w:rsidRPr="00373E90">
        <w:t>Nel caso esaminato, l'IRPEF, le addizionali e i contributi in caso di regime ordinario comportano un esborso di oltre 5.500 euro rispetto al regime forfettario.</w:t>
      </w:r>
    </w:p>
    <w:p w14:paraId="1AFB2344" w14:textId="49593071" w:rsidR="00405DF8" w:rsidRPr="002F5353" w:rsidRDefault="00405DF8" w:rsidP="00AF53D5">
      <w:pPr>
        <w:keepNext/>
        <w:jc w:val="both"/>
        <w:rPr>
          <w:b/>
          <w:bCs/>
        </w:rPr>
      </w:pPr>
      <w:r w:rsidRPr="002F5353">
        <w:rPr>
          <w:b/>
          <w:bCs/>
        </w:rPr>
        <w:t>CASO 2: Commerciante al dettaglio</w:t>
      </w:r>
    </w:p>
    <w:p w14:paraId="7D441E19" w14:textId="2692AC95" w:rsidR="00523648" w:rsidRDefault="002F5353" w:rsidP="00AF53D5">
      <w:pPr>
        <w:keepNext/>
        <w:jc w:val="both"/>
      </w:pPr>
      <w:r w:rsidRPr="002F5353">
        <w:rPr>
          <w:noProof/>
        </w:rPr>
        <w:drawing>
          <wp:inline distT="0" distB="0" distL="0" distR="0" wp14:anchorId="6C8BF3C6" wp14:editId="088C60D7">
            <wp:extent cx="6120130" cy="2439035"/>
            <wp:effectExtent l="0" t="0" r="0" b="0"/>
            <wp:docPr id="70506335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439035"/>
                    </a:xfrm>
                    <a:prstGeom prst="rect">
                      <a:avLst/>
                    </a:prstGeom>
                    <a:noFill/>
                    <a:ln>
                      <a:noFill/>
                    </a:ln>
                  </pic:spPr>
                </pic:pic>
              </a:graphicData>
            </a:graphic>
          </wp:inline>
        </w:drawing>
      </w:r>
    </w:p>
    <w:p w14:paraId="40DF4296" w14:textId="12FB5B09" w:rsidR="009A2BE2" w:rsidRDefault="009A2BE2" w:rsidP="00AF53D5">
      <w:pPr>
        <w:pStyle w:val="Didascalia"/>
        <w:jc w:val="both"/>
      </w:pPr>
      <w:r>
        <w:t xml:space="preserve">Figura </w:t>
      </w:r>
      <w:r w:rsidR="00306DF3">
        <w:t>4</w:t>
      </w:r>
      <w:r>
        <w:t>: Reddito imponibile</w:t>
      </w:r>
    </w:p>
    <w:p w14:paraId="08C88029" w14:textId="6FB85782" w:rsidR="00DD7E1E" w:rsidRPr="002F5353" w:rsidRDefault="002F5353" w:rsidP="00DD7E1E">
      <w:r>
        <w:t>Nel caso in e</w:t>
      </w:r>
      <w:r w:rsidR="00D14388">
        <w:t xml:space="preserve">same </w:t>
      </w:r>
      <w:r w:rsidR="00B9063E">
        <w:t xml:space="preserve">si è ipotizzato parità di reddito nei due </w:t>
      </w:r>
      <w:proofErr w:type="gramStart"/>
      <w:r w:rsidR="00B9063E">
        <w:t>regimi,</w:t>
      </w:r>
      <w:r w:rsidR="00306DF3">
        <w:t xml:space="preserve"> </w:t>
      </w:r>
      <w:r w:rsidR="00B9063E">
        <w:t>pertanto</w:t>
      </w:r>
      <w:proofErr w:type="gramEnd"/>
      <w:r w:rsidR="00B9063E">
        <w:t xml:space="preserve"> anche il calcolo dei contri</w:t>
      </w:r>
      <w:r w:rsidR="00DD7E1E" w:rsidRPr="00DD7E1E">
        <w:t xml:space="preserve"> </w:t>
      </w:r>
      <w:r w:rsidR="00DD7E1E">
        <w:t xml:space="preserve">buti INPS conduce allo stesso risultato. </w:t>
      </w:r>
    </w:p>
    <w:p w14:paraId="1D70F02F" w14:textId="3B8AB653" w:rsidR="002F5353" w:rsidRPr="002F5353" w:rsidRDefault="00DD7E1E" w:rsidP="002F5353">
      <w:r w:rsidRPr="00DD7E1E">
        <w:rPr>
          <w:noProof/>
        </w:rPr>
        <w:drawing>
          <wp:inline distT="0" distB="0" distL="0" distR="0" wp14:anchorId="428EA7EC" wp14:editId="01A64839">
            <wp:extent cx="6120130" cy="911860"/>
            <wp:effectExtent l="0" t="0" r="0" b="2540"/>
            <wp:docPr id="189078057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911860"/>
                    </a:xfrm>
                    <a:prstGeom prst="rect">
                      <a:avLst/>
                    </a:prstGeom>
                    <a:noFill/>
                    <a:ln>
                      <a:noFill/>
                    </a:ln>
                  </pic:spPr>
                </pic:pic>
              </a:graphicData>
            </a:graphic>
          </wp:inline>
        </w:drawing>
      </w:r>
      <w:r w:rsidRPr="00DD7E1E">
        <w:t xml:space="preserve"> </w:t>
      </w:r>
    </w:p>
    <w:p w14:paraId="7A6BC75E" w14:textId="7FAD9C84" w:rsidR="008E3B11" w:rsidRDefault="008E3B11" w:rsidP="00AF53D5">
      <w:pPr>
        <w:pStyle w:val="Didascalia"/>
        <w:jc w:val="both"/>
      </w:pPr>
      <w:r>
        <w:t xml:space="preserve">Figura </w:t>
      </w:r>
      <w:r w:rsidR="00306DF3">
        <w:t>5</w:t>
      </w:r>
      <w:r>
        <w:t xml:space="preserve">: Contributi Inps </w:t>
      </w:r>
    </w:p>
    <w:p w14:paraId="3002CE9A" w14:textId="7C84CF1B" w:rsidR="009A2BE2" w:rsidRDefault="009A2BE2" w:rsidP="00AF53D5">
      <w:pPr>
        <w:keepNext/>
        <w:jc w:val="both"/>
      </w:pPr>
      <w:r w:rsidRPr="009A2BE2">
        <w:lastRenderedPageBreak/>
        <w:t>Dopo la deduzione, la base imponibile si riduce a 18.118 euro, su cui si applic</w:t>
      </w:r>
      <w:r w:rsidR="00732889">
        <w:t>ano</w:t>
      </w:r>
      <w:r w:rsidRPr="009A2BE2">
        <w:t xml:space="preserve"> l’imposta sostitutiva </w:t>
      </w:r>
      <w:r w:rsidR="00FA5942">
        <w:t>o quella ordinaria tenuto conto delle detrazioni.</w:t>
      </w:r>
    </w:p>
    <w:p w14:paraId="3BF792A1" w14:textId="3D017998" w:rsidR="00FA5942" w:rsidRDefault="009C41C8" w:rsidP="00AF53D5">
      <w:pPr>
        <w:keepNext/>
        <w:jc w:val="both"/>
      </w:pPr>
      <w:r>
        <w:rPr>
          <w:noProof/>
        </w:rPr>
        <w:drawing>
          <wp:inline distT="0" distB="0" distL="0" distR="0" wp14:anchorId="22FEEE20" wp14:editId="43306BD9">
            <wp:extent cx="6075376" cy="1853455"/>
            <wp:effectExtent l="19050" t="19050" r="20955" b="13970"/>
            <wp:docPr id="173599943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4652" cy="1862387"/>
                    </a:xfrm>
                    <a:prstGeom prst="rect">
                      <a:avLst/>
                    </a:prstGeom>
                    <a:noFill/>
                    <a:ln>
                      <a:solidFill>
                        <a:schemeClr val="tx1"/>
                      </a:solidFill>
                    </a:ln>
                  </pic:spPr>
                </pic:pic>
              </a:graphicData>
            </a:graphic>
          </wp:inline>
        </w:drawing>
      </w:r>
    </w:p>
    <w:p w14:paraId="31407961" w14:textId="616DD2BC" w:rsidR="008E3B11" w:rsidRPr="009A2BE2" w:rsidRDefault="008E3B11" w:rsidP="00AF53D5">
      <w:pPr>
        <w:pStyle w:val="Didascalia"/>
        <w:jc w:val="both"/>
      </w:pPr>
      <w:r>
        <w:t>Figura</w:t>
      </w:r>
      <w:r w:rsidR="00306DF3">
        <w:t xml:space="preserve"> 6</w:t>
      </w:r>
      <w:r>
        <w:t xml:space="preserve">: </w:t>
      </w:r>
      <w:r w:rsidRPr="000C1068">
        <w:t>Calcolo compenso netto e totale imposte e contributi</w:t>
      </w:r>
    </w:p>
    <w:p w14:paraId="248B82F1" w14:textId="51C10BE7" w:rsidR="00EE069A" w:rsidRDefault="00A805C1" w:rsidP="00A805C1">
      <w:pPr>
        <w:jc w:val="both"/>
      </w:pPr>
      <w:r w:rsidRPr="00A805C1">
        <w:t>La convenienza è evidente, ma c'è un ulteriore vantaggio per i commercianti che vendono ai consumatori finali soggetti all'IVA. Il commerciante forfettario può vendere allo stesso prezzo del commerciante ordinario senza dover pagare l'IVA. Questo può portare a prezzi migliori o a guadagni maggiori. Il tool consente lo scorporo dell'IVA impostando l'aliquota.</w:t>
      </w:r>
    </w:p>
    <w:p w14:paraId="44951C18" w14:textId="074F0200" w:rsidR="001F1FEE" w:rsidRPr="00FD0BE8" w:rsidRDefault="001F1FEE" w:rsidP="00AF53D5">
      <w:pPr>
        <w:jc w:val="both"/>
        <w:rPr>
          <w:b/>
          <w:bCs/>
        </w:rPr>
      </w:pPr>
      <w:r w:rsidRPr="00FD0BE8">
        <w:rPr>
          <w:b/>
          <w:bCs/>
        </w:rPr>
        <w:t>Caso 3</w:t>
      </w:r>
      <w:r w:rsidR="00FD0BE8" w:rsidRPr="00FD0BE8">
        <w:rPr>
          <w:b/>
          <w:bCs/>
        </w:rPr>
        <w:t>:</w:t>
      </w:r>
      <w:r w:rsidRPr="00FD0BE8">
        <w:rPr>
          <w:b/>
          <w:bCs/>
        </w:rPr>
        <w:t xml:space="preserve"> </w:t>
      </w:r>
      <w:r w:rsidR="008C6D69">
        <w:rPr>
          <w:b/>
          <w:bCs/>
        </w:rPr>
        <w:t>Muratore</w:t>
      </w:r>
      <w:r w:rsidR="00285BAE" w:rsidRPr="00FD0BE8">
        <w:rPr>
          <w:b/>
          <w:bCs/>
        </w:rPr>
        <w:t xml:space="preserve"> </w:t>
      </w:r>
    </w:p>
    <w:p w14:paraId="2AD032E5" w14:textId="30094257" w:rsidR="00515584" w:rsidRDefault="00956D4B" w:rsidP="00AF53D5">
      <w:pPr>
        <w:jc w:val="both"/>
      </w:pPr>
      <w:r w:rsidRPr="00956D4B">
        <w:t xml:space="preserve">Il </w:t>
      </w:r>
      <w:r w:rsidR="008C6D69">
        <w:t>muratore</w:t>
      </w:r>
      <w:r w:rsidRPr="00956D4B">
        <w:t>, nel regime forfettario, applica un coefficiente di redditività del 78%, ottenendo un reddito imponibile di 4</w:t>
      </w:r>
      <w:r w:rsidR="000530EB">
        <w:t>5</w:t>
      </w:r>
      <w:r w:rsidRPr="00956D4B">
        <w:t>.</w:t>
      </w:r>
      <w:r w:rsidR="000530EB">
        <w:t>0</w:t>
      </w:r>
      <w:r w:rsidRPr="00956D4B">
        <w:t>00 euro</w:t>
      </w:r>
      <w:r w:rsidR="009E2B86">
        <w:t xml:space="preserve"> nel regi</w:t>
      </w:r>
      <w:r w:rsidR="004F6C51">
        <w:t>me ordinario e di 51.600.</w:t>
      </w:r>
    </w:p>
    <w:p w14:paraId="7C2E555F" w14:textId="53AE098B" w:rsidR="00515584" w:rsidRDefault="00740A0D" w:rsidP="00AF53D5">
      <w:pPr>
        <w:keepNext/>
        <w:jc w:val="both"/>
      </w:pPr>
      <w:r w:rsidRPr="00740A0D">
        <w:rPr>
          <w:noProof/>
        </w:rPr>
        <w:drawing>
          <wp:inline distT="0" distB="0" distL="0" distR="0" wp14:anchorId="2ABD1CD5" wp14:editId="45345288">
            <wp:extent cx="6120130" cy="2439035"/>
            <wp:effectExtent l="19050" t="19050" r="13970" b="18415"/>
            <wp:docPr id="108116143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439035"/>
                    </a:xfrm>
                    <a:prstGeom prst="rect">
                      <a:avLst/>
                    </a:prstGeom>
                    <a:noFill/>
                    <a:ln>
                      <a:solidFill>
                        <a:schemeClr val="tx1"/>
                      </a:solidFill>
                    </a:ln>
                  </pic:spPr>
                </pic:pic>
              </a:graphicData>
            </a:graphic>
          </wp:inline>
        </w:drawing>
      </w:r>
    </w:p>
    <w:p w14:paraId="1B0DEFED" w14:textId="5726E694" w:rsidR="00515584" w:rsidRDefault="00515584" w:rsidP="00AF53D5">
      <w:pPr>
        <w:pStyle w:val="Didascalia"/>
        <w:jc w:val="both"/>
      </w:pPr>
      <w:r>
        <w:t xml:space="preserve">Figura </w:t>
      </w:r>
      <w:r w:rsidR="00306DF3">
        <w:t>7</w:t>
      </w:r>
      <w:fldSimple w:instr=" SEQ Figura \* ARABIC "/>
      <w:r>
        <w:t>: Reddito imponibile</w:t>
      </w:r>
    </w:p>
    <w:p w14:paraId="090D34A7" w14:textId="3C437E48" w:rsidR="00515584" w:rsidRDefault="001E6F9D" w:rsidP="001E6F9D">
      <w:pPr>
        <w:jc w:val="both"/>
      </w:pPr>
      <w:r w:rsidRPr="001E6F9D">
        <w:t>La discrepanza nei redditi influisce sulla determinazione dei contributi che, nel regime forfettario, verranno calcolati su una frazione di reddito che non è stata effettivamente percepita.</w:t>
      </w:r>
    </w:p>
    <w:p w14:paraId="18144D71" w14:textId="316383CA" w:rsidR="00425C27" w:rsidRDefault="00857001" w:rsidP="00AF53D5">
      <w:pPr>
        <w:keepNext/>
        <w:jc w:val="both"/>
      </w:pPr>
      <w:r w:rsidRPr="00857001">
        <w:rPr>
          <w:noProof/>
        </w:rPr>
        <w:lastRenderedPageBreak/>
        <w:drawing>
          <wp:inline distT="0" distB="0" distL="0" distR="0" wp14:anchorId="51C39973" wp14:editId="4A44BE41">
            <wp:extent cx="6120130" cy="1199515"/>
            <wp:effectExtent l="19050" t="19050" r="13970" b="19685"/>
            <wp:docPr id="669555930" name="Immagine 1"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5930" name="Immagine 1" descr="Immagine che contiene testo, Carattere, linea, numero&#10;&#10;Il contenuto generato dall'IA potrebbe non essere corretto."/>
                    <pic:cNvPicPr/>
                  </pic:nvPicPr>
                  <pic:blipFill>
                    <a:blip r:embed="rId14"/>
                    <a:stretch>
                      <a:fillRect/>
                    </a:stretch>
                  </pic:blipFill>
                  <pic:spPr>
                    <a:xfrm>
                      <a:off x="0" y="0"/>
                      <a:ext cx="6120130" cy="1199515"/>
                    </a:xfrm>
                    <a:prstGeom prst="rect">
                      <a:avLst/>
                    </a:prstGeom>
                    <a:ln>
                      <a:solidFill>
                        <a:schemeClr val="tx1"/>
                      </a:solidFill>
                    </a:ln>
                  </pic:spPr>
                </pic:pic>
              </a:graphicData>
            </a:graphic>
          </wp:inline>
        </w:drawing>
      </w:r>
    </w:p>
    <w:p w14:paraId="0EDBEAEB" w14:textId="45E181A1" w:rsidR="00515584" w:rsidRDefault="00515584" w:rsidP="00AF53D5">
      <w:pPr>
        <w:pStyle w:val="Didascalia"/>
        <w:jc w:val="both"/>
      </w:pPr>
      <w:r>
        <w:t xml:space="preserve">Figura </w:t>
      </w:r>
      <w:r w:rsidR="00306DF3">
        <w:t>8</w:t>
      </w:r>
      <w:fldSimple w:instr=" SEQ Figura \* ARABIC "/>
      <w:r>
        <w:t>: Contributi Inps gestione separata</w:t>
      </w:r>
    </w:p>
    <w:p w14:paraId="035BE50E" w14:textId="77777777" w:rsidR="0057331B" w:rsidRDefault="00481AB7" w:rsidP="00481AB7">
      <w:r w:rsidRPr="00481AB7">
        <w:t>Se le detrazioni superano 1.680 euro, conviene scegliere il regime ordinario.</w:t>
      </w:r>
    </w:p>
    <w:p w14:paraId="4A9E9A6A" w14:textId="31E53728" w:rsidR="004F0E29" w:rsidRDefault="00DD0C00" w:rsidP="00481AB7">
      <w:r>
        <w:t xml:space="preserve"> Ipotizzando </w:t>
      </w:r>
      <w:r w:rsidR="0057331B">
        <w:t xml:space="preserve">detrazioni </w:t>
      </w:r>
      <w:r>
        <w:t xml:space="preserve">pari a </w:t>
      </w:r>
      <w:r w:rsidR="005746D8">
        <w:t>6</w:t>
      </w:r>
      <w:r>
        <w:t>.000,00 euro si ottiene il seguente risultato.</w:t>
      </w:r>
    </w:p>
    <w:p w14:paraId="409EECFC" w14:textId="749F874E" w:rsidR="00582DD2" w:rsidRDefault="00554A38" w:rsidP="00AF53D5">
      <w:pPr>
        <w:keepNext/>
        <w:jc w:val="both"/>
      </w:pPr>
      <w:r>
        <w:rPr>
          <w:noProof/>
        </w:rPr>
        <w:drawing>
          <wp:inline distT="0" distB="0" distL="0" distR="0" wp14:anchorId="54568FB0" wp14:editId="2B5C8EF4">
            <wp:extent cx="6122670" cy="1828800"/>
            <wp:effectExtent l="19050" t="19050" r="11430" b="19050"/>
            <wp:docPr id="205732463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2670" cy="1828800"/>
                    </a:xfrm>
                    <a:prstGeom prst="rect">
                      <a:avLst/>
                    </a:prstGeom>
                    <a:noFill/>
                    <a:ln>
                      <a:solidFill>
                        <a:schemeClr val="tx1"/>
                      </a:solidFill>
                    </a:ln>
                  </pic:spPr>
                </pic:pic>
              </a:graphicData>
            </a:graphic>
          </wp:inline>
        </w:drawing>
      </w:r>
    </w:p>
    <w:p w14:paraId="0365E745" w14:textId="6172402C" w:rsidR="00582DD2" w:rsidRPr="00956D4B" w:rsidRDefault="00582DD2" w:rsidP="00AF53D5">
      <w:pPr>
        <w:pStyle w:val="Didascalia"/>
        <w:jc w:val="both"/>
      </w:pPr>
      <w:r>
        <w:t xml:space="preserve">Figura </w:t>
      </w:r>
      <w:r w:rsidR="00306DF3">
        <w:t>9</w:t>
      </w:r>
      <w:fldSimple w:instr=" SEQ Figura \* ARABIC "/>
      <w:r>
        <w:t xml:space="preserve">: </w:t>
      </w:r>
      <w:r w:rsidRPr="000C1068">
        <w:t>Calcolo compenso netto e totale imposte e contributi</w:t>
      </w:r>
    </w:p>
    <w:p w14:paraId="45C9B0E3" w14:textId="39EE2D22" w:rsidR="00A844DE" w:rsidRPr="00A844DE" w:rsidRDefault="00A844DE" w:rsidP="00AF53D5">
      <w:pPr>
        <w:jc w:val="both"/>
        <w:rPr>
          <w:b/>
          <w:bCs/>
        </w:rPr>
      </w:pPr>
      <w:r w:rsidRPr="00A844DE">
        <w:rPr>
          <w:b/>
          <w:bCs/>
        </w:rPr>
        <w:t>Conclusioni</w:t>
      </w:r>
    </w:p>
    <w:p w14:paraId="000A4741" w14:textId="00898A2A" w:rsidR="00DD3F33" w:rsidRPr="00681075" w:rsidRDefault="00FA5068" w:rsidP="00FA5068">
      <w:pPr>
        <w:jc w:val="both"/>
      </w:pPr>
      <w:r w:rsidRPr="00FA5068">
        <w:t>Il regime forfettario può garantire un reddito netto effettivo più elevato rispetto all'ordinario, anche con le stesse spese. La differenza dipende dal coefficiente di redditività, dalla gestione previdenziale, dall'incidenza delle addizionali locali e dallo scorporo dell'IVA. Il vantaggio è maggiore per attività con buona marginalità, costi contenuti e poche detrazioni. È fondamentale valutare la convenienza caso per caso, considerando ricavi, costi, profilo personale e opportunità fiscali. Il tool “Convenienza_Forfettari_24_” permette di confrontare i due regimi in modo semplice, valutando costi e detrazioni non utilizzabili.</w:t>
      </w:r>
    </w:p>
    <w:sectPr w:rsidR="00DD3F33" w:rsidRPr="0068107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E1"/>
    <w:rsid w:val="00002A58"/>
    <w:rsid w:val="00012F1B"/>
    <w:rsid w:val="00013BAF"/>
    <w:rsid w:val="000222DF"/>
    <w:rsid w:val="000302DE"/>
    <w:rsid w:val="000344A0"/>
    <w:rsid w:val="00035228"/>
    <w:rsid w:val="000530EB"/>
    <w:rsid w:val="00056F5C"/>
    <w:rsid w:val="000574E9"/>
    <w:rsid w:val="00061848"/>
    <w:rsid w:val="00066DF9"/>
    <w:rsid w:val="00066F26"/>
    <w:rsid w:val="00076717"/>
    <w:rsid w:val="00085672"/>
    <w:rsid w:val="00094C65"/>
    <w:rsid w:val="000A0A7E"/>
    <w:rsid w:val="000B3536"/>
    <w:rsid w:val="000B48D6"/>
    <w:rsid w:val="000C2D2B"/>
    <w:rsid w:val="000C3210"/>
    <w:rsid w:val="000C3686"/>
    <w:rsid w:val="000D1AC5"/>
    <w:rsid w:val="000D3D14"/>
    <w:rsid w:val="000D63BA"/>
    <w:rsid w:val="000D674A"/>
    <w:rsid w:val="000E5442"/>
    <w:rsid w:val="000F0484"/>
    <w:rsid w:val="000F1BD6"/>
    <w:rsid w:val="000F7710"/>
    <w:rsid w:val="00105D5C"/>
    <w:rsid w:val="00107F1F"/>
    <w:rsid w:val="00110AC4"/>
    <w:rsid w:val="00116262"/>
    <w:rsid w:val="00127282"/>
    <w:rsid w:val="001329AD"/>
    <w:rsid w:val="00146DC7"/>
    <w:rsid w:val="00160150"/>
    <w:rsid w:val="001614C6"/>
    <w:rsid w:val="00162737"/>
    <w:rsid w:val="001663C2"/>
    <w:rsid w:val="001678F1"/>
    <w:rsid w:val="001734F3"/>
    <w:rsid w:val="00180A94"/>
    <w:rsid w:val="001A70CC"/>
    <w:rsid w:val="001B5270"/>
    <w:rsid w:val="001C2685"/>
    <w:rsid w:val="001C2EC3"/>
    <w:rsid w:val="001C6D1B"/>
    <w:rsid w:val="001D1CE5"/>
    <w:rsid w:val="001E6F9D"/>
    <w:rsid w:val="001F1FEE"/>
    <w:rsid w:val="002031F7"/>
    <w:rsid w:val="0020588E"/>
    <w:rsid w:val="002111CC"/>
    <w:rsid w:val="00211AC7"/>
    <w:rsid w:val="00213B75"/>
    <w:rsid w:val="00232BCB"/>
    <w:rsid w:val="00237392"/>
    <w:rsid w:val="00241EF7"/>
    <w:rsid w:val="00245A50"/>
    <w:rsid w:val="00251B69"/>
    <w:rsid w:val="002538C8"/>
    <w:rsid w:val="00257179"/>
    <w:rsid w:val="0026265C"/>
    <w:rsid w:val="002667D6"/>
    <w:rsid w:val="0027381F"/>
    <w:rsid w:val="00285B03"/>
    <w:rsid w:val="00285BAE"/>
    <w:rsid w:val="0028653C"/>
    <w:rsid w:val="00286BDF"/>
    <w:rsid w:val="002937B0"/>
    <w:rsid w:val="002A2B5B"/>
    <w:rsid w:val="002B244E"/>
    <w:rsid w:val="002B3DCD"/>
    <w:rsid w:val="002C21FA"/>
    <w:rsid w:val="002C37F4"/>
    <w:rsid w:val="002D4A44"/>
    <w:rsid w:val="002E04FE"/>
    <w:rsid w:val="002F1DA3"/>
    <w:rsid w:val="002F4CCE"/>
    <w:rsid w:val="002F5353"/>
    <w:rsid w:val="00302D76"/>
    <w:rsid w:val="00306DF3"/>
    <w:rsid w:val="00313704"/>
    <w:rsid w:val="003203B6"/>
    <w:rsid w:val="003271CE"/>
    <w:rsid w:val="00337846"/>
    <w:rsid w:val="0034086E"/>
    <w:rsid w:val="00345D19"/>
    <w:rsid w:val="003465DA"/>
    <w:rsid w:val="0035212F"/>
    <w:rsid w:val="003526EE"/>
    <w:rsid w:val="00373E90"/>
    <w:rsid w:val="0038109A"/>
    <w:rsid w:val="0038142C"/>
    <w:rsid w:val="00387191"/>
    <w:rsid w:val="003A0375"/>
    <w:rsid w:val="003A4AAA"/>
    <w:rsid w:val="003B4A68"/>
    <w:rsid w:val="003B4FDB"/>
    <w:rsid w:val="003B617A"/>
    <w:rsid w:val="003C1E4E"/>
    <w:rsid w:val="003C60ED"/>
    <w:rsid w:val="003D0568"/>
    <w:rsid w:val="003D764A"/>
    <w:rsid w:val="00404067"/>
    <w:rsid w:val="00404F29"/>
    <w:rsid w:val="0040561A"/>
    <w:rsid w:val="00405DF8"/>
    <w:rsid w:val="00407F20"/>
    <w:rsid w:val="00420641"/>
    <w:rsid w:val="00422662"/>
    <w:rsid w:val="00423BD5"/>
    <w:rsid w:val="00425C27"/>
    <w:rsid w:val="0042761C"/>
    <w:rsid w:val="00431126"/>
    <w:rsid w:val="00436C9A"/>
    <w:rsid w:val="00447C5C"/>
    <w:rsid w:val="00456966"/>
    <w:rsid w:val="0046052B"/>
    <w:rsid w:val="00460D10"/>
    <w:rsid w:val="00464545"/>
    <w:rsid w:val="00481AB7"/>
    <w:rsid w:val="00485379"/>
    <w:rsid w:val="00492E0E"/>
    <w:rsid w:val="004A1716"/>
    <w:rsid w:val="004A1AFA"/>
    <w:rsid w:val="004A5CB5"/>
    <w:rsid w:val="004A6F07"/>
    <w:rsid w:val="004B372A"/>
    <w:rsid w:val="004B4CBA"/>
    <w:rsid w:val="004B7E30"/>
    <w:rsid w:val="004C23EB"/>
    <w:rsid w:val="004C3105"/>
    <w:rsid w:val="004C390A"/>
    <w:rsid w:val="004C7076"/>
    <w:rsid w:val="004E3D74"/>
    <w:rsid w:val="004F0E29"/>
    <w:rsid w:val="004F30E4"/>
    <w:rsid w:val="004F6C51"/>
    <w:rsid w:val="0050425F"/>
    <w:rsid w:val="005063E4"/>
    <w:rsid w:val="005133FF"/>
    <w:rsid w:val="00515584"/>
    <w:rsid w:val="00515D8E"/>
    <w:rsid w:val="00523648"/>
    <w:rsid w:val="005243C8"/>
    <w:rsid w:val="00526816"/>
    <w:rsid w:val="00530E1D"/>
    <w:rsid w:val="00532D65"/>
    <w:rsid w:val="0053757C"/>
    <w:rsid w:val="00541C28"/>
    <w:rsid w:val="00546FA1"/>
    <w:rsid w:val="00554A38"/>
    <w:rsid w:val="005600B0"/>
    <w:rsid w:val="005628F9"/>
    <w:rsid w:val="0057331B"/>
    <w:rsid w:val="005746D8"/>
    <w:rsid w:val="00580DF2"/>
    <w:rsid w:val="00582DD2"/>
    <w:rsid w:val="005870BD"/>
    <w:rsid w:val="00590B54"/>
    <w:rsid w:val="00593821"/>
    <w:rsid w:val="005A2393"/>
    <w:rsid w:val="005A26C0"/>
    <w:rsid w:val="005B4F1B"/>
    <w:rsid w:val="005C2677"/>
    <w:rsid w:val="005C3977"/>
    <w:rsid w:val="005D272B"/>
    <w:rsid w:val="005D730E"/>
    <w:rsid w:val="005E3B95"/>
    <w:rsid w:val="005E44E6"/>
    <w:rsid w:val="005F1295"/>
    <w:rsid w:val="005F3738"/>
    <w:rsid w:val="00603597"/>
    <w:rsid w:val="006054F8"/>
    <w:rsid w:val="00617A1A"/>
    <w:rsid w:val="00621BBD"/>
    <w:rsid w:val="00623237"/>
    <w:rsid w:val="00623603"/>
    <w:rsid w:val="0063159D"/>
    <w:rsid w:val="006342C9"/>
    <w:rsid w:val="006579B8"/>
    <w:rsid w:val="006709EC"/>
    <w:rsid w:val="00681075"/>
    <w:rsid w:val="006832C9"/>
    <w:rsid w:val="0068424B"/>
    <w:rsid w:val="006925BF"/>
    <w:rsid w:val="00694B2E"/>
    <w:rsid w:val="006C211E"/>
    <w:rsid w:val="006C35B0"/>
    <w:rsid w:val="006E0142"/>
    <w:rsid w:val="007017B4"/>
    <w:rsid w:val="00706DC5"/>
    <w:rsid w:val="00711460"/>
    <w:rsid w:val="0071562C"/>
    <w:rsid w:val="007168F0"/>
    <w:rsid w:val="00717A89"/>
    <w:rsid w:val="007268E1"/>
    <w:rsid w:val="00732889"/>
    <w:rsid w:val="00733403"/>
    <w:rsid w:val="00740A0D"/>
    <w:rsid w:val="0074506D"/>
    <w:rsid w:val="00753396"/>
    <w:rsid w:val="007566DE"/>
    <w:rsid w:val="00771CEA"/>
    <w:rsid w:val="007910B5"/>
    <w:rsid w:val="00793B6A"/>
    <w:rsid w:val="007966DB"/>
    <w:rsid w:val="00796FE5"/>
    <w:rsid w:val="007A1C57"/>
    <w:rsid w:val="007A76CF"/>
    <w:rsid w:val="007B0314"/>
    <w:rsid w:val="007C06EF"/>
    <w:rsid w:val="007C58C3"/>
    <w:rsid w:val="007C67CE"/>
    <w:rsid w:val="007D231E"/>
    <w:rsid w:val="007D710D"/>
    <w:rsid w:val="007E0C43"/>
    <w:rsid w:val="00800CB1"/>
    <w:rsid w:val="00805E1E"/>
    <w:rsid w:val="0080625E"/>
    <w:rsid w:val="008120B5"/>
    <w:rsid w:val="0082070D"/>
    <w:rsid w:val="00824490"/>
    <w:rsid w:val="008244DD"/>
    <w:rsid w:val="00824D9C"/>
    <w:rsid w:val="008336C2"/>
    <w:rsid w:val="008449CF"/>
    <w:rsid w:val="00856DFE"/>
    <w:rsid w:val="00857001"/>
    <w:rsid w:val="00857594"/>
    <w:rsid w:val="00860E80"/>
    <w:rsid w:val="008628A7"/>
    <w:rsid w:val="0086374D"/>
    <w:rsid w:val="00867CD2"/>
    <w:rsid w:val="00871423"/>
    <w:rsid w:val="0087190F"/>
    <w:rsid w:val="00874CD3"/>
    <w:rsid w:val="00890708"/>
    <w:rsid w:val="0089528A"/>
    <w:rsid w:val="008A1A46"/>
    <w:rsid w:val="008B5630"/>
    <w:rsid w:val="008C1194"/>
    <w:rsid w:val="008C6D69"/>
    <w:rsid w:val="008D6506"/>
    <w:rsid w:val="008E2494"/>
    <w:rsid w:val="008E3B11"/>
    <w:rsid w:val="008E5BF5"/>
    <w:rsid w:val="008F2773"/>
    <w:rsid w:val="008F57B3"/>
    <w:rsid w:val="00924BB1"/>
    <w:rsid w:val="00925FD9"/>
    <w:rsid w:val="00934F35"/>
    <w:rsid w:val="00937132"/>
    <w:rsid w:val="00943DFC"/>
    <w:rsid w:val="00945C8D"/>
    <w:rsid w:val="0095138F"/>
    <w:rsid w:val="00954769"/>
    <w:rsid w:val="00956D4B"/>
    <w:rsid w:val="00957B0A"/>
    <w:rsid w:val="00965696"/>
    <w:rsid w:val="00976054"/>
    <w:rsid w:val="009902B3"/>
    <w:rsid w:val="00991D36"/>
    <w:rsid w:val="00993614"/>
    <w:rsid w:val="009A2BE2"/>
    <w:rsid w:val="009B034B"/>
    <w:rsid w:val="009B053D"/>
    <w:rsid w:val="009B0AF4"/>
    <w:rsid w:val="009B4618"/>
    <w:rsid w:val="009C41C8"/>
    <w:rsid w:val="009C570F"/>
    <w:rsid w:val="009D461F"/>
    <w:rsid w:val="009D6F2A"/>
    <w:rsid w:val="009E2B86"/>
    <w:rsid w:val="009E63A6"/>
    <w:rsid w:val="009E75FE"/>
    <w:rsid w:val="009F19C8"/>
    <w:rsid w:val="00A01394"/>
    <w:rsid w:val="00A06A34"/>
    <w:rsid w:val="00A20ED2"/>
    <w:rsid w:val="00A239C3"/>
    <w:rsid w:val="00A30E64"/>
    <w:rsid w:val="00A33776"/>
    <w:rsid w:val="00A45B28"/>
    <w:rsid w:val="00A46004"/>
    <w:rsid w:val="00A5094B"/>
    <w:rsid w:val="00A52094"/>
    <w:rsid w:val="00A66B75"/>
    <w:rsid w:val="00A734EA"/>
    <w:rsid w:val="00A7744B"/>
    <w:rsid w:val="00A805C1"/>
    <w:rsid w:val="00A844DE"/>
    <w:rsid w:val="00A94E62"/>
    <w:rsid w:val="00AA09B7"/>
    <w:rsid w:val="00AA73B9"/>
    <w:rsid w:val="00AB20EB"/>
    <w:rsid w:val="00AB3FED"/>
    <w:rsid w:val="00AB4A11"/>
    <w:rsid w:val="00AC6643"/>
    <w:rsid w:val="00AD0101"/>
    <w:rsid w:val="00AD19CA"/>
    <w:rsid w:val="00AD4596"/>
    <w:rsid w:val="00AD5423"/>
    <w:rsid w:val="00AD6DD6"/>
    <w:rsid w:val="00AF491F"/>
    <w:rsid w:val="00AF4C3C"/>
    <w:rsid w:val="00AF53D5"/>
    <w:rsid w:val="00B043C0"/>
    <w:rsid w:val="00B10DB3"/>
    <w:rsid w:val="00B153D5"/>
    <w:rsid w:val="00B15DC9"/>
    <w:rsid w:val="00B3216A"/>
    <w:rsid w:val="00B3785B"/>
    <w:rsid w:val="00B40411"/>
    <w:rsid w:val="00B53FE7"/>
    <w:rsid w:val="00B85146"/>
    <w:rsid w:val="00B9063E"/>
    <w:rsid w:val="00BA3DCB"/>
    <w:rsid w:val="00BA401B"/>
    <w:rsid w:val="00BA448B"/>
    <w:rsid w:val="00BA5DD8"/>
    <w:rsid w:val="00BB3E07"/>
    <w:rsid w:val="00BC34B6"/>
    <w:rsid w:val="00BC40D9"/>
    <w:rsid w:val="00BD3D1C"/>
    <w:rsid w:val="00BD60DD"/>
    <w:rsid w:val="00BD6839"/>
    <w:rsid w:val="00BE3143"/>
    <w:rsid w:val="00BF0942"/>
    <w:rsid w:val="00BF5460"/>
    <w:rsid w:val="00C063AD"/>
    <w:rsid w:val="00C1308A"/>
    <w:rsid w:val="00C246B5"/>
    <w:rsid w:val="00C27C32"/>
    <w:rsid w:val="00C45E33"/>
    <w:rsid w:val="00C46848"/>
    <w:rsid w:val="00C908D3"/>
    <w:rsid w:val="00C9515C"/>
    <w:rsid w:val="00CA0DB9"/>
    <w:rsid w:val="00CB0CBF"/>
    <w:rsid w:val="00CB49CB"/>
    <w:rsid w:val="00CB7AC1"/>
    <w:rsid w:val="00CB7EE3"/>
    <w:rsid w:val="00CC5114"/>
    <w:rsid w:val="00CE07E2"/>
    <w:rsid w:val="00CE4FDA"/>
    <w:rsid w:val="00CF2280"/>
    <w:rsid w:val="00D07AF0"/>
    <w:rsid w:val="00D07BD8"/>
    <w:rsid w:val="00D11FD8"/>
    <w:rsid w:val="00D14388"/>
    <w:rsid w:val="00D14F4D"/>
    <w:rsid w:val="00D22B35"/>
    <w:rsid w:val="00D24BAB"/>
    <w:rsid w:val="00D35BEF"/>
    <w:rsid w:val="00D36F96"/>
    <w:rsid w:val="00D40F04"/>
    <w:rsid w:val="00D45F86"/>
    <w:rsid w:val="00D474F9"/>
    <w:rsid w:val="00D512DC"/>
    <w:rsid w:val="00D70901"/>
    <w:rsid w:val="00D80041"/>
    <w:rsid w:val="00D82FB6"/>
    <w:rsid w:val="00D9002A"/>
    <w:rsid w:val="00DA016F"/>
    <w:rsid w:val="00DA439F"/>
    <w:rsid w:val="00DB2FBF"/>
    <w:rsid w:val="00DB6766"/>
    <w:rsid w:val="00DB71B0"/>
    <w:rsid w:val="00DC2075"/>
    <w:rsid w:val="00DC7AD1"/>
    <w:rsid w:val="00DD0C00"/>
    <w:rsid w:val="00DD1725"/>
    <w:rsid w:val="00DD3F33"/>
    <w:rsid w:val="00DD589A"/>
    <w:rsid w:val="00DD5948"/>
    <w:rsid w:val="00DD7E1E"/>
    <w:rsid w:val="00DE4E75"/>
    <w:rsid w:val="00DE5BA1"/>
    <w:rsid w:val="00E033FF"/>
    <w:rsid w:val="00E05514"/>
    <w:rsid w:val="00E06FEB"/>
    <w:rsid w:val="00E109D8"/>
    <w:rsid w:val="00E11324"/>
    <w:rsid w:val="00E37344"/>
    <w:rsid w:val="00E443FE"/>
    <w:rsid w:val="00E53794"/>
    <w:rsid w:val="00E621F1"/>
    <w:rsid w:val="00E73679"/>
    <w:rsid w:val="00E80269"/>
    <w:rsid w:val="00E80A5E"/>
    <w:rsid w:val="00E81390"/>
    <w:rsid w:val="00E8358A"/>
    <w:rsid w:val="00E85C2C"/>
    <w:rsid w:val="00E867CF"/>
    <w:rsid w:val="00E91973"/>
    <w:rsid w:val="00E93507"/>
    <w:rsid w:val="00EA3B33"/>
    <w:rsid w:val="00EA4276"/>
    <w:rsid w:val="00EC0719"/>
    <w:rsid w:val="00EC1419"/>
    <w:rsid w:val="00ED7501"/>
    <w:rsid w:val="00EE069A"/>
    <w:rsid w:val="00EE3B24"/>
    <w:rsid w:val="00EE3F9F"/>
    <w:rsid w:val="00EF16A0"/>
    <w:rsid w:val="00EF1A81"/>
    <w:rsid w:val="00EF28AB"/>
    <w:rsid w:val="00EF2EA4"/>
    <w:rsid w:val="00F11C69"/>
    <w:rsid w:val="00F15B0F"/>
    <w:rsid w:val="00F15E95"/>
    <w:rsid w:val="00F2788A"/>
    <w:rsid w:val="00F30205"/>
    <w:rsid w:val="00F33AC9"/>
    <w:rsid w:val="00F41B5B"/>
    <w:rsid w:val="00F4712A"/>
    <w:rsid w:val="00F51FA4"/>
    <w:rsid w:val="00F958BE"/>
    <w:rsid w:val="00FA06C2"/>
    <w:rsid w:val="00FA5068"/>
    <w:rsid w:val="00FA5942"/>
    <w:rsid w:val="00FB009F"/>
    <w:rsid w:val="00FB411A"/>
    <w:rsid w:val="00FB5EA4"/>
    <w:rsid w:val="00FC42BF"/>
    <w:rsid w:val="00FD0BE8"/>
    <w:rsid w:val="00FD219A"/>
    <w:rsid w:val="00FD7BE7"/>
    <w:rsid w:val="00FF1B05"/>
    <w:rsid w:val="00FF1C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BB21"/>
  <w15:chartTrackingRefBased/>
  <w15:docId w15:val="{655945DE-A212-4AB9-8012-16BA0426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2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2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268E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268E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268E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268E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268E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268E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268E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268E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268E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268E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268E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268E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268E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268E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268E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268E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2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268E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268E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268E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268E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268E1"/>
    <w:rPr>
      <w:i/>
      <w:iCs/>
      <w:color w:val="404040" w:themeColor="text1" w:themeTint="BF"/>
    </w:rPr>
  </w:style>
  <w:style w:type="paragraph" w:styleId="Paragrafoelenco">
    <w:name w:val="List Paragraph"/>
    <w:basedOn w:val="Normale"/>
    <w:uiPriority w:val="34"/>
    <w:qFormat/>
    <w:rsid w:val="007268E1"/>
    <w:pPr>
      <w:ind w:left="720"/>
      <w:contextualSpacing/>
    </w:pPr>
  </w:style>
  <w:style w:type="character" w:styleId="Enfasiintensa">
    <w:name w:val="Intense Emphasis"/>
    <w:basedOn w:val="Carpredefinitoparagrafo"/>
    <w:uiPriority w:val="21"/>
    <w:qFormat/>
    <w:rsid w:val="007268E1"/>
    <w:rPr>
      <w:i/>
      <w:iCs/>
      <w:color w:val="0F4761" w:themeColor="accent1" w:themeShade="BF"/>
    </w:rPr>
  </w:style>
  <w:style w:type="paragraph" w:styleId="Citazioneintensa">
    <w:name w:val="Intense Quote"/>
    <w:basedOn w:val="Normale"/>
    <w:next w:val="Normale"/>
    <w:link w:val="CitazioneintensaCarattere"/>
    <w:uiPriority w:val="30"/>
    <w:qFormat/>
    <w:rsid w:val="0072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268E1"/>
    <w:rPr>
      <w:i/>
      <w:iCs/>
      <w:color w:val="0F4761" w:themeColor="accent1" w:themeShade="BF"/>
    </w:rPr>
  </w:style>
  <w:style w:type="character" w:styleId="Riferimentointenso">
    <w:name w:val="Intense Reference"/>
    <w:basedOn w:val="Carpredefinitoparagrafo"/>
    <w:uiPriority w:val="32"/>
    <w:qFormat/>
    <w:rsid w:val="007268E1"/>
    <w:rPr>
      <w:b/>
      <w:bCs/>
      <w:smallCaps/>
      <w:color w:val="0F4761" w:themeColor="accent1" w:themeShade="BF"/>
      <w:spacing w:val="5"/>
    </w:rPr>
  </w:style>
  <w:style w:type="character" w:styleId="Testosegnaposto">
    <w:name w:val="Placeholder Text"/>
    <w:basedOn w:val="Carpredefinitoparagrafo"/>
    <w:uiPriority w:val="99"/>
    <w:semiHidden/>
    <w:rsid w:val="00404F29"/>
    <w:rPr>
      <w:color w:val="666666"/>
    </w:rPr>
  </w:style>
  <w:style w:type="paragraph" w:styleId="Didascalia">
    <w:name w:val="caption"/>
    <w:basedOn w:val="Normale"/>
    <w:next w:val="Normale"/>
    <w:uiPriority w:val="35"/>
    <w:unhideWhenUsed/>
    <w:qFormat/>
    <w:rsid w:val="000B48D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5522">
      <w:bodyDiv w:val="1"/>
      <w:marLeft w:val="0"/>
      <w:marRight w:val="0"/>
      <w:marTop w:val="0"/>
      <w:marBottom w:val="0"/>
      <w:divBdr>
        <w:top w:val="none" w:sz="0" w:space="0" w:color="auto"/>
        <w:left w:val="none" w:sz="0" w:space="0" w:color="auto"/>
        <w:bottom w:val="none" w:sz="0" w:space="0" w:color="auto"/>
        <w:right w:val="none" w:sz="0" w:space="0" w:color="auto"/>
      </w:divBdr>
    </w:div>
    <w:div w:id="145129082">
      <w:bodyDiv w:val="1"/>
      <w:marLeft w:val="0"/>
      <w:marRight w:val="0"/>
      <w:marTop w:val="0"/>
      <w:marBottom w:val="0"/>
      <w:divBdr>
        <w:top w:val="none" w:sz="0" w:space="0" w:color="auto"/>
        <w:left w:val="none" w:sz="0" w:space="0" w:color="auto"/>
        <w:bottom w:val="none" w:sz="0" w:space="0" w:color="auto"/>
        <w:right w:val="none" w:sz="0" w:space="0" w:color="auto"/>
      </w:divBdr>
      <w:divsChild>
        <w:div w:id="1913661550">
          <w:marLeft w:val="0"/>
          <w:marRight w:val="0"/>
          <w:marTop w:val="0"/>
          <w:marBottom w:val="0"/>
          <w:divBdr>
            <w:top w:val="none" w:sz="0" w:space="0" w:color="auto"/>
            <w:left w:val="none" w:sz="0" w:space="0" w:color="auto"/>
            <w:bottom w:val="none" w:sz="0" w:space="0" w:color="auto"/>
            <w:right w:val="none" w:sz="0" w:space="0" w:color="auto"/>
          </w:divBdr>
          <w:divsChild>
            <w:div w:id="389691686">
              <w:marLeft w:val="0"/>
              <w:marRight w:val="0"/>
              <w:marTop w:val="0"/>
              <w:marBottom w:val="0"/>
              <w:divBdr>
                <w:top w:val="none" w:sz="0" w:space="0" w:color="auto"/>
                <w:left w:val="none" w:sz="0" w:space="0" w:color="auto"/>
                <w:bottom w:val="none" w:sz="0" w:space="0" w:color="auto"/>
                <w:right w:val="none" w:sz="0" w:space="0" w:color="auto"/>
              </w:divBdr>
              <w:divsChild>
                <w:div w:id="697387737">
                  <w:marLeft w:val="0"/>
                  <w:marRight w:val="0"/>
                  <w:marTop w:val="0"/>
                  <w:marBottom w:val="0"/>
                  <w:divBdr>
                    <w:top w:val="none" w:sz="0" w:space="0" w:color="auto"/>
                    <w:left w:val="none" w:sz="0" w:space="0" w:color="auto"/>
                    <w:bottom w:val="none" w:sz="0" w:space="0" w:color="auto"/>
                    <w:right w:val="none" w:sz="0" w:space="0" w:color="auto"/>
                  </w:divBdr>
                  <w:divsChild>
                    <w:div w:id="1731615908">
                      <w:marLeft w:val="0"/>
                      <w:marRight w:val="0"/>
                      <w:marTop w:val="0"/>
                      <w:marBottom w:val="0"/>
                      <w:divBdr>
                        <w:top w:val="none" w:sz="0" w:space="0" w:color="auto"/>
                        <w:left w:val="none" w:sz="0" w:space="0" w:color="auto"/>
                        <w:bottom w:val="none" w:sz="0" w:space="0" w:color="auto"/>
                        <w:right w:val="none" w:sz="0" w:space="0" w:color="auto"/>
                      </w:divBdr>
                      <w:divsChild>
                        <w:div w:id="532963567">
                          <w:marLeft w:val="0"/>
                          <w:marRight w:val="0"/>
                          <w:marTop w:val="0"/>
                          <w:marBottom w:val="0"/>
                          <w:divBdr>
                            <w:top w:val="none" w:sz="0" w:space="0" w:color="auto"/>
                            <w:left w:val="none" w:sz="0" w:space="0" w:color="auto"/>
                            <w:bottom w:val="none" w:sz="0" w:space="0" w:color="auto"/>
                            <w:right w:val="none" w:sz="0" w:space="0" w:color="auto"/>
                          </w:divBdr>
                          <w:divsChild>
                            <w:div w:id="1410233990">
                              <w:marLeft w:val="0"/>
                              <w:marRight w:val="0"/>
                              <w:marTop w:val="0"/>
                              <w:marBottom w:val="0"/>
                              <w:divBdr>
                                <w:top w:val="none" w:sz="0" w:space="0" w:color="auto"/>
                                <w:left w:val="none" w:sz="0" w:space="0" w:color="auto"/>
                                <w:bottom w:val="none" w:sz="0" w:space="0" w:color="auto"/>
                                <w:right w:val="none" w:sz="0" w:space="0" w:color="auto"/>
                              </w:divBdr>
                              <w:divsChild>
                                <w:div w:id="225997901">
                                  <w:marLeft w:val="0"/>
                                  <w:marRight w:val="0"/>
                                  <w:marTop w:val="0"/>
                                  <w:marBottom w:val="0"/>
                                  <w:divBdr>
                                    <w:top w:val="none" w:sz="0" w:space="0" w:color="auto"/>
                                    <w:left w:val="none" w:sz="0" w:space="0" w:color="auto"/>
                                    <w:bottom w:val="none" w:sz="0" w:space="0" w:color="auto"/>
                                    <w:right w:val="none" w:sz="0" w:space="0" w:color="auto"/>
                                  </w:divBdr>
                                  <w:divsChild>
                                    <w:div w:id="2611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560727">
      <w:bodyDiv w:val="1"/>
      <w:marLeft w:val="0"/>
      <w:marRight w:val="0"/>
      <w:marTop w:val="0"/>
      <w:marBottom w:val="0"/>
      <w:divBdr>
        <w:top w:val="none" w:sz="0" w:space="0" w:color="auto"/>
        <w:left w:val="none" w:sz="0" w:space="0" w:color="auto"/>
        <w:bottom w:val="none" w:sz="0" w:space="0" w:color="auto"/>
        <w:right w:val="none" w:sz="0" w:space="0" w:color="auto"/>
      </w:divBdr>
    </w:div>
    <w:div w:id="402070116">
      <w:bodyDiv w:val="1"/>
      <w:marLeft w:val="0"/>
      <w:marRight w:val="0"/>
      <w:marTop w:val="0"/>
      <w:marBottom w:val="0"/>
      <w:divBdr>
        <w:top w:val="none" w:sz="0" w:space="0" w:color="auto"/>
        <w:left w:val="none" w:sz="0" w:space="0" w:color="auto"/>
        <w:bottom w:val="none" w:sz="0" w:space="0" w:color="auto"/>
        <w:right w:val="none" w:sz="0" w:space="0" w:color="auto"/>
      </w:divBdr>
    </w:div>
    <w:div w:id="484317874">
      <w:bodyDiv w:val="1"/>
      <w:marLeft w:val="0"/>
      <w:marRight w:val="0"/>
      <w:marTop w:val="0"/>
      <w:marBottom w:val="0"/>
      <w:divBdr>
        <w:top w:val="none" w:sz="0" w:space="0" w:color="auto"/>
        <w:left w:val="none" w:sz="0" w:space="0" w:color="auto"/>
        <w:bottom w:val="none" w:sz="0" w:space="0" w:color="auto"/>
        <w:right w:val="none" w:sz="0" w:space="0" w:color="auto"/>
      </w:divBdr>
    </w:div>
    <w:div w:id="549003274">
      <w:bodyDiv w:val="1"/>
      <w:marLeft w:val="0"/>
      <w:marRight w:val="0"/>
      <w:marTop w:val="0"/>
      <w:marBottom w:val="0"/>
      <w:divBdr>
        <w:top w:val="none" w:sz="0" w:space="0" w:color="auto"/>
        <w:left w:val="none" w:sz="0" w:space="0" w:color="auto"/>
        <w:bottom w:val="none" w:sz="0" w:space="0" w:color="auto"/>
        <w:right w:val="none" w:sz="0" w:space="0" w:color="auto"/>
      </w:divBdr>
    </w:div>
    <w:div w:id="611673741">
      <w:bodyDiv w:val="1"/>
      <w:marLeft w:val="0"/>
      <w:marRight w:val="0"/>
      <w:marTop w:val="0"/>
      <w:marBottom w:val="0"/>
      <w:divBdr>
        <w:top w:val="none" w:sz="0" w:space="0" w:color="auto"/>
        <w:left w:val="none" w:sz="0" w:space="0" w:color="auto"/>
        <w:bottom w:val="none" w:sz="0" w:space="0" w:color="auto"/>
        <w:right w:val="none" w:sz="0" w:space="0" w:color="auto"/>
      </w:divBdr>
    </w:div>
    <w:div w:id="612132043">
      <w:bodyDiv w:val="1"/>
      <w:marLeft w:val="0"/>
      <w:marRight w:val="0"/>
      <w:marTop w:val="0"/>
      <w:marBottom w:val="0"/>
      <w:divBdr>
        <w:top w:val="none" w:sz="0" w:space="0" w:color="auto"/>
        <w:left w:val="none" w:sz="0" w:space="0" w:color="auto"/>
        <w:bottom w:val="none" w:sz="0" w:space="0" w:color="auto"/>
        <w:right w:val="none" w:sz="0" w:space="0" w:color="auto"/>
      </w:divBdr>
    </w:div>
    <w:div w:id="663238649">
      <w:bodyDiv w:val="1"/>
      <w:marLeft w:val="0"/>
      <w:marRight w:val="0"/>
      <w:marTop w:val="0"/>
      <w:marBottom w:val="0"/>
      <w:divBdr>
        <w:top w:val="none" w:sz="0" w:space="0" w:color="auto"/>
        <w:left w:val="none" w:sz="0" w:space="0" w:color="auto"/>
        <w:bottom w:val="none" w:sz="0" w:space="0" w:color="auto"/>
        <w:right w:val="none" w:sz="0" w:space="0" w:color="auto"/>
      </w:divBdr>
    </w:div>
    <w:div w:id="762800921">
      <w:bodyDiv w:val="1"/>
      <w:marLeft w:val="0"/>
      <w:marRight w:val="0"/>
      <w:marTop w:val="0"/>
      <w:marBottom w:val="0"/>
      <w:divBdr>
        <w:top w:val="none" w:sz="0" w:space="0" w:color="auto"/>
        <w:left w:val="none" w:sz="0" w:space="0" w:color="auto"/>
        <w:bottom w:val="none" w:sz="0" w:space="0" w:color="auto"/>
        <w:right w:val="none" w:sz="0" w:space="0" w:color="auto"/>
      </w:divBdr>
    </w:div>
    <w:div w:id="775716657">
      <w:bodyDiv w:val="1"/>
      <w:marLeft w:val="0"/>
      <w:marRight w:val="0"/>
      <w:marTop w:val="0"/>
      <w:marBottom w:val="0"/>
      <w:divBdr>
        <w:top w:val="none" w:sz="0" w:space="0" w:color="auto"/>
        <w:left w:val="none" w:sz="0" w:space="0" w:color="auto"/>
        <w:bottom w:val="none" w:sz="0" w:space="0" w:color="auto"/>
        <w:right w:val="none" w:sz="0" w:space="0" w:color="auto"/>
      </w:divBdr>
    </w:div>
    <w:div w:id="803306201">
      <w:bodyDiv w:val="1"/>
      <w:marLeft w:val="0"/>
      <w:marRight w:val="0"/>
      <w:marTop w:val="0"/>
      <w:marBottom w:val="0"/>
      <w:divBdr>
        <w:top w:val="none" w:sz="0" w:space="0" w:color="auto"/>
        <w:left w:val="none" w:sz="0" w:space="0" w:color="auto"/>
        <w:bottom w:val="none" w:sz="0" w:space="0" w:color="auto"/>
        <w:right w:val="none" w:sz="0" w:space="0" w:color="auto"/>
      </w:divBdr>
    </w:div>
    <w:div w:id="820074960">
      <w:bodyDiv w:val="1"/>
      <w:marLeft w:val="0"/>
      <w:marRight w:val="0"/>
      <w:marTop w:val="0"/>
      <w:marBottom w:val="0"/>
      <w:divBdr>
        <w:top w:val="none" w:sz="0" w:space="0" w:color="auto"/>
        <w:left w:val="none" w:sz="0" w:space="0" w:color="auto"/>
        <w:bottom w:val="none" w:sz="0" w:space="0" w:color="auto"/>
        <w:right w:val="none" w:sz="0" w:space="0" w:color="auto"/>
      </w:divBdr>
    </w:div>
    <w:div w:id="871571318">
      <w:bodyDiv w:val="1"/>
      <w:marLeft w:val="0"/>
      <w:marRight w:val="0"/>
      <w:marTop w:val="0"/>
      <w:marBottom w:val="0"/>
      <w:divBdr>
        <w:top w:val="none" w:sz="0" w:space="0" w:color="auto"/>
        <w:left w:val="none" w:sz="0" w:space="0" w:color="auto"/>
        <w:bottom w:val="none" w:sz="0" w:space="0" w:color="auto"/>
        <w:right w:val="none" w:sz="0" w:space="0" w:color="auto"/>
      </w:divBdr>
      <w:divsChild>
        <w:div w:id="395129390">
          <w:marLeft w:val="0"/>
          <w:marRight w:val="0"/>
          <w:marTop w:val="0"/>
          <w:marBottom w:val="0"/>
          <w:divBdr>
            <w:top w:val="none" w:sz="0" w:space="0" w:color="auto"/>
            <w:left w:val="none" w:sz="0" w:space="0" w:color="auto"/>
            <w:bottom w:val="none" w:sz="0" w:space="0" w:color="auto"/>
            <w:right w:val="none" w:sz="0" w:space="0" w:color="auto"/>
          </w:divBdr>
          <w:divsChild>
            <w:div w:id="1127814977">
              <w:marLeft w:val="0"/>
              <w:marRight w:val="0"/>
              <w:marTop w:val="0"/>
              <w:marBottom w:val="0"/>
              <w:divBdr>
                <w:top w:val="none" w:sz="0" w:space="0" w:color="auto"/>
                <w:left w:val="none" w:sz="0" w:space="0" w:color="auto"/>
                <w:bottom w:val="none" w:sz="0" w:space="0" w:color="auto"/>
                <w:right w:val="none" w:sz="0" w:space="0" w:color="auto"/>
              </w:divBdr>
              <w:divsChild>
                <w:div w:id="1712151610">
                  <w:marLeft w:val="0"/>
                  <w:marRight w:val="0"/>
                  <w:marTop w:val="0"/>
                  <w:marBottom w:val="0"/>
                  <w:divBdr>
                    <w:top w:val="none" w:sz="0" w:space="0" w:color="auto"/>
                    <w:left w:val="none" w:sz="0" w:space="0" w:color="auto"/>
                    <w:bottom w:val="none" w:sz="0" w:space="0" w:color="auto"/>
                    <w:right w:val="none" w:sz="0" w:space="0" w:color="auto"/>
                  </w:divBdr>
                  <w:divsChild>
                    <w:div w:id="1008171016">
                      <w:marLeft w:val="0"/>
                      <w:marRight w:val="0"/>
                      <w:marTop w:val="0"/>
                      <w:marBottom w:val="0"/>
                      <w:divBdr>
                        <w:top w:val="none" w:sz="0" w:space="0" w:color="auto"/>
                        <w:left w:val="none" w:sz="0" w:space="0" w:color="auto"/>
                        <w:bottom w:val="none" w:sz="0" w:space="0" w:color="auto"/>
                        <w:right w:val="none" w:sz="0" w:space="0" w:color="auto"/>
                      </w:divBdr>
                      <w:divsChild>
                        <w:div w:id="447429534">
                          <w:marLeft w:val="0"/>
                          <w:marRight w:val="0"/>
                          <w:marTop w:val="0"/>
                          <w:marBottom w:val="0"/>
                          <w:divBdr>
                            <w:top w:val="none" w:sz="0" w:space="0" w:color="auto"/>
                            <w:left w:val="none" w:sz="0" w:space="0" w:color="auto"/>
                            <w:bottom w:val="none" w:sz="0" w:space="0" w:color="auto"/>
                            <w:right w:val="none" w:sz="0" w:space="0" w:color="auto"/>
                          </w:divBdr>
                          <w:divsChild>
                            <w:div w:id="943659227">
                              <w:marLeft w:val="0"/>
                              <w:marRight w:val="0"/>
                              <w:marTop w:val="0"/>
                              <w:marBottom w:val="0"/>
                              <w:divBdr>
                                <w:top w:val="none" w:sz="0" w:space="0" w:color="auto"/>
                                <w:left w:val="none" w:sz="0" w:space="0" w:color="auto"/>
                                <w:bottom w:val="none" w:sz="0" w:space="0" w:color="auto"/>
                                <w:right w:val="none" w:sz="0" w:space="0" w:color="auto"/>
                              </w:divBdr>
                              <w:divsChild>
                                <w:div w:id="947390382">
                                  <w:marLeft w:val="0"/>
                                  <w:marRight w:val="0"/>
                                  <w:marTop w:val="0"/>
                                  <w:marBottom w:val="0"/>
                                  <w:divBdr>
                                    <w:top w:val="none" w:sz="0" w:space="0" w:color="auto"/>
                                    <w:left w:val="none" w:sz="0" w:space="0" w:color="auto"/>
                                    <w:bottom w:val="none" w:sz="0" w:space="0" w:color="auto"/>
                                    <w:right w:val="none" w:sz="0" w:space="0" w:color="auto"/>
                                  </w:divBdr>
                                  <w:divsChild>
                                    <w:div w:id="19185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551276">
      <w:bodyDiv w:val="1"/>
      <w:marLeft w:val="0"/>
      <w:marRight w:val="0"/>
      <w:marTop w:val="0"/>
      <w:marBottom w:val="0"/>
      <w:divBdr>
        <w:top w:val="none" w:sz="0" w:space="0" w:color="auto"/>
        <w:left w:val="none" w:sz="0" w:space="0" w:color="auto"/>
        <w:bottom w:val="none" w:sz="0" w:space="0" w:color="auto"/>
        <w:right w:val="none" w:sz="0" w:space="0" w:color="auto"/>
      </w:divBdr>
    </w:div>
    <w:div w:id="1124270392">
      <w:bodyDiv w:val="1"/>
      <w:marLeft w:val="0"/>
      <w:marRight w:val="0"/>
      <w:marTop w:val="0"/>
      <w:marBottom w:val="0"/>
      <w:divBdr>
        <w:top w:val="none" w:sz="0" w:space="0" w:color="auto"/>
        <w:left w:val="none" w:sz="0" w:space="0" w:color="auto"/>
        <w:bottom w:val="none" w:sz="0" w:space="0" w:color="auto"/>
        <w:right w:val="none" w:sz="0" w:space="0" w:color="auto"/>
      </w:divBdr>
    </w:div>
    <w:div w:id="1187133625">
      <w:bodyDiv w:val="1"/>
      <w:marLeft w:val="0"/>
      <w:marRight w:val="0"/>
      <w:marTop w:val="0"/>
      <w:marBottom w:val="0"/>
      <w:divBdr>
        <w:top w:val="none" w:sz="0" w:space="0" w:color="auto"/>
        <w:left w:val="none" w:sz="0" w:space="0" w:color="auto"/>
        <w:bottom w:val="none" w:sz="0" w:space="0" w:color="auto"/>
        <w:right w:val="none" w:sz="0" w:space="0" w:color="auto"/>
      </w:divBdr>
    </w:div>
    <w:div w:id="1214806640">
      <w:bodyDiv w:val="1"/>
      <w:marLeft w:val="0"/>
      <w:marRight w:val="0"/>
      <w:marTop w:val="0"/>
      <w:marBottom w:val="0"/>
      <w:divBdr>
        <w:top w:val="none" w:sz="0" w:space="0" w:color="auto"/>
        <w:left w:val="none" w:sz="0" w:space="0" w:color="auto"/>
        <w:bottom w:val="none" w:sz="0" w:space="0" w:color="auto"/>
        <w:right w:val="none" w:sz="0" w:space="0" w:color="auto"/>
      </w:divBdr>
    </w:div>
    <w:div w:id="1226572571">
      <w:bodyDiv w:val="1"/>
      <w:marLeft w:val="0"/>
      <w:marRight w:val="0"/>
      <w:marTop w:val="0"/>
      <w:marBottom w:val="0"/>
      <w:divBdr>
        <w:top w:val="none" w:sz="0" w:space="0" w:color="auto"/>
        <w:left w:val="none" w:sz="0" w:space="0" w:color="auto"/>
        <w:bottom w:val="none" w:sz="0" w:space="0" w:color="auto"/>
        <w:right w:val="none" w:sz="0" w:space="0" w:color="auto"/>
      </w:divBdr>
    </w:div>
    <w:div w:id="1485243801">
      <w:bodyDiv w:val="1"/>
      <w:marLeft w:val="0"/>
      <w:marRight w:val="0"/>
      <w:marTop w:val="0"/>
      <w:marBottom w:val="0"/>
      <w:divBdr>
        <w:top w:val="none" w:sz="0" w:space="0" w:color="auto"/>
        <w:left w:val="none" w:sz="0" w:space="0" w:color="auto"/>
        <w:bottom w:val="none" w:sz="0" w:space="0" w:color="auto"/>
        <w:right w:val="none" w:sz="0" w:space="0" w:color="auto"/>
      </w:divBdr>
      <w:divsChild>
        <w:div w:id="1106925867">
          <w:marLeft w:val="0"/>
          <w:marRight w:val="0"/>
          <w:marTop w:val="0"/>
          <w:marBottom w:val="0"/>
          <w:divBdr>
            <w:top w:val="none" w:sz="0" w:space="0" w:color="auto"/>
            <w:left w:val="none" w:sz="0" w:space="0" w:color="auto"/>
            <w:bottom w:val="none" w:sz="0" w:space="0" w:color="auto"/>
            <w:right w:val="none" w:sz="0" w:space="0" w:color="auto"/>
          </w:divBdr>
          <w:divsChild>
            <w:div w:id="572736932">
              <w:marLeft w:val="0"/>
              <w:marRight w:val="0"/>
              <w:marTop w:val="0"/>
              <w:marBottom w:val="0"/>
              <w:divBdr>
                <w:top w:val="none" w:sz="0" w:space="0" w:color="auto"/>
                <w:left w:val="none" w:sz="0" w:space="0" w:color="auto"/>
                <w:bottom w:val="none" w:sz="0" w:space="0" w:color="auto"/>
                <w:right w:val="none" w:sz="0" w:space="0" w:color="auto"/>
              </w:divBdr>
              <w:divsChild>
                <w:div w:id="687870778">
                  <w:marLeft w:val="0"/>
                  <w:marRight w:val="0"/>
                  <w:marTop w:val="0"/>
                  <w:marBottom w:val="0"/>
                  <w:divBdr>
                    <w:top w:val="none" w:sz="0" w:space="0" w:color="auto"/>
                    <w:left w:val="none" w:sz="0" w:space="0" w:color="auto"/>
                    <w:bottom w:val="none" w:sz="0" w:space="0" w:color="auto"/>
                    <w:right w:val="none" w:sz="0" w:space="0" w:color="auto"/>
                  </w:divBdr>
                  <w:divsChild>
                    <w:div w:id="43873302">
                      <w:marLeft w:val="0"/>
                      <w:marRight w:val="0"/>
                      <w:marTop w:val="0"/>
                      <w:marBottom w:val="0"/>
                      <w:divBdr>
                        <w:top w:val="none" w:sz="0" w:space="0" w:color="auto"/>
                        <w:left w:val="none" w:sz="0" w:space="0" w:color="auto"/>
                        <w:bottom w:val="none" w:sz="0" w:space="0" w:color="auto"/>
                        <w:right w:val="none" w:sz="0" w:space="0" w:color="auto"/>
                      </w:divBdr>
                      <w:divsChild>
                        <w:div w:id="529997216">
                          <w:marLeft w:val="0"/>
                          <w:marRight w:val="0"/>
                          <w:marTop w:val="0"/>
                          <w:marBottom w:val="0"/>
                          <w:divBdr>
                            <w:top w:val="none" w:sz="0" w:space="0" w:color="auto"/>
                            <w:left w:val="none" w:sz="0" w:space="0" w:color="auto"/>
                            <w:bottom w:val="none" w:sz="0" w:space="0" w:color="auto"/>
                            <w:right w:val="none" w:sz="0" w:space="0" w:color="auto"/>
                          </w:divBdr>
                          <w:divsChild>
                            <w:div w:id="1535461515">
                              <w:marLeft w:val="0"/>
                              <w:marRight w:val="0"/>
                              <w:marTop w:val="0"/>
                              <w:marBottom w:val="0"/>
                              <w:divBdr>
                                <w:top w:val="none" w:sz="0" w:space="0" w:color="auto"/>
                                <w:left w:val="none" w:sz="0" w:space="0" w:color="auto"/>
                                <w:bottom w:val="none" w:sz="0" w:space="0" w:color="auto"/>
                                <w:right w:val="none" w:sz="0" w:space="0" w:color="auto"/>
                              </w:divBdr>
                              <w:divsChild>
                                <w:div w:id="211498997">
                                  <w:marLeft w:val="0"/>
                                  <w:marRight w:val="0"/>
                                  <w:marTop w:val="0"/>
                                  <w:marBottom w:val="0"/>
                                  <w:divBdr>
                                    <w:top w:val="none" w:sz="0" w:space="0" w:color="auto"/>
                                    <w:left w:val="none" w:sz="0" w:space="0" w:color="auto"/>
                                    <w:bottom w:val="none" w:sz="0" w:space="0" w:color="auto"/>
                                    <w:right w:val="none" w:sz="0" w:space="0" w:color="auto"/>
                                  </w:divBdr>
                                  <w:divsChild>
                                    <w:div w:id="3408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759842">
      <w:bodyDiv w:val="1"/>
      <w:marLeft w:val="0"/>
      <w:marRight w:val="0"/>
      <w:marTop w:val="0"/>
      <w:marBottom w:val="0"/>
      <w:divBdr>
        <w:top w:val="none" w:sz="0" w:space="0" w:color="auto"/>
        <w:left w:val="none" w:sz="0" w:space="0" w:color="auto"/>
        <w:bottom w:val="none" w:sz="0" w:space="0" w:color="auto"/>
        <w:right w:val="none" w:sz="0" w:space="0" w:color="auto"/>
      </w:divBdr>
      <w:divsChild>
        <w:div w:id="2016377006">
          <w:marLeft w:val="0"/>
          <w:marRight w:val="0"/>
          <w:marTop w:val="0"/>
          <w:marBottom w:val="0"/>
          <w:divBdr>
            <w:top w:val="none" w:sz="0" w:space="0" w:color="auto"/>
            <w:left w:val="none" w:sz="0" w:space="0" w:color="auto"/>
            <w:bottom w:val="none" w:sz="0" w:space="0" w:color="auto"/>
            <w:right w:val="none" w:sz="0" w:space="0" w:color="auto"/>
          </w:divBdr>
          <w:divsChild>
            <w:div w:id="785852342">
              <w:marLeft w:val="0"/>
              <w:marRight w:val="0"/>
              <w:marTop w:val="0"/>
              <w:marBottom w:val="0"/>
              <w:divBdr>
                <w:top w:val="none" w:sz="0" w:space="0" w:color="auto"/>
                <w:left w:val="none" w:sz="0" w:space="0" w:color="auto"/>
                <w:bottom w:val="none" w:sz="0" w:space="0" w:color="auto"/>
                <w:right w:val="none" w:sz="0" w:space="0" w:color="auto"/>
              </w:divBdr>
              <w:divsChild>
                <w:div w:id="210388965">
                  <w:marLeft w:val="0"/>
                  <w:marRight w:val="0"/>
                  <w:marTop w:val="0"/>
                  <w:marBottom w:val="0"/>
                  <w:divBdr>
                    <w:top w:val="none" w:sz="0" w:space="0" w:color="auto"/>
                    <w:left w:val="none" w:sz="0" w:space="0" w:color="auto"/>
                    <w:bottom w:val="none" w:sz="0" w:space="0" w:color="auto"/>
                    <w:right w:val="none" w:sz="0" w:space="0" w:color="auto"/>
                  </w:divBdr>
                  <w:divsChild>
                    <w:div w:id="575286455">
                      <w:marLeft w:val="0"/>
                      <w:marRight w:val="0"/>
                      <w:marTop w:val="0"/>
                      <w:marBottom w:val="0"/>
                      <w:divBdr>
                        <w:top w:val="none" w:sz="0" w:space="0" w:color="auto"/>
                        <w:left w:val="none" w:sz="0" w:space="0" w:color="auto"/>
                        <w:bottom w:val="none" w:sz="0" w:space="0" w:color="auto"/>
                        <w:right w:val="none" w:sz="0" w:space="0" w:color="auto"/>
                      </w:divBdr>
                      <w:divsChild>
                        <w:div w:id="1632859539">
                          <w:marLeft w:val="0"/>
                          <w:marRight w:val="0"/>
                          <w:marTop w:val="0"/>
                          <w:marBottom w:val="0"/>
                          <w:divBdr>
                            <w:top w:val="none" w:sz="0" w:space="0" w:color="auto"/>
                            <w:left w:val="none" w:sz="0" w:space="0" w:color="auto"/>
                            <w:bottom w:val="none" w:sz="0" w:space="0" w:color="auto"/>
                            <w:right w:val="none" w:sz="0" w:space="0" w:color="auto"/>
                          </w:divBdr>
                          <w:divsChild>
                            <w:div w:id="1104424932">
                              <w:marLeft w:val="0"/>
                              <w:marRight w:val="0"/>
                              <w:marTop w:val="0"/>
                              <w:marBottom w:val="0"/>
                              <w:divBdr>
                                <w:top w:val="none" w:sz="0" w:space="0" w:color="auto"/>
                                <w:left w:val="none" w:sz="0" w:space="0" w:color="auto"/>
                                <w:bottom w:val="none" w:sz="0" w:space="0" w:color="auto"/>
                                <w:right w:val="none" w:sz="0" w:space="0" w:color="auto"/>
                              </w:divBdr>
                              <w:divsChild>
                                <w:div w:id="581767761">
                                  <w:marLeft w:val="0"/>
                                  <w:marRight w:val="0"/>
                                  <w:marTop w:val="0"/>
                                  <w:marBottom w:val="0"/>
                                  <w:divBdr>
                                    <w:top w:val="none" w:sz="0" w:space="0" w:color="auto"/>
                                    <w:left w:val="none" w:sz="0" w:space="0" w:color="auto"/>
                                    <w:bottom w:val="none" w:sz="0" w:space="0" w:color="auto"/>
                                    <w:right w:val="none" w:sz="0" w:space="0" w:color="auto"/>
                                  </w:divBdr>
                                  <w:divsChild>
                                    <w:div w:id="8278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customXml" Target="../customXml/item3.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emf"/><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B8B2AF-DB1A-4B60-9E7A-F3B2E26AF6CC}">
  <ds:schemaRefs>
    <ds:schemaRef ds:uri="http://schemas.microsoft.com/sharepoint/v3/contenttype/forms"/>
  </ds:schemaRefs>
</ds:datastoreItem>
</file>

<file path=customXml/itemProps2.xml><?xml version="1.0" encoding="utf-8"?>
<ds:datastoreItem xmlns:ds="http://schemas.openxmlformats.org/officeDocument/2006/customXml" ds:itemID="{CF397ED1-CF4E-42B7-B700-9B38A425CC2D}">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D5344EC1-7EA0-4E0A-A7A5-7AFCD2B42B2D}"/>
</file>

<file path=docProps/app.xml><?xml version="1.0" encoding="utf-8"?>
<Properties xmlns="http://schemas.openxmlformats.org/officeDocument/2006/extended-properties" xmlns:vt="http://schemas.openxmlformats.org/officeDocument/2006/docPropsVTypes">
  <Template>Normal</Template>
  <TotalTime>5</TotalTime>
  <Pages>5</Pages>
  <Words>945</Words>
  <Characters>5387</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Pastore</cp:lastModifiedBy>
  <cp:revision>403</cp:revision>
  <dcterms:created xsi:type="dcterms:W3CDTF">2025-04-08T12:14:00Z</dcterms:created>
  <dcterms:modified xsi:type="dcterms:W3CDTF">2025-04-17T13:51:00Z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