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210949" w14:textId="76861581" w:rsidR="004079F0" w:rsidRPr="00D346D2" w:rsidRDefault="005418AB" w:rsidP="004079F0">
      <w:pPr>
        <w:jc w:val="both"/>
        <w:rPr>
          <w:sz w:val="24"/>
          <w:szCs w:val="24"/>
        </w:rPr>
      </w:pPr>
      <w:r w:rsidRPr="00D346D2">
        <w:rPr>
          <w:b/>
          <w:bCs/>
          <w:sz w:val="24"/>
          <w:szCs w:val="24"/>
        </w:rPr>
        <w:t>L'AUTOMAZIONE DELLE REGISTRAZIONI CONTABILI GRAZIE ALL'IA: UN'OPPORTUNITÀ PER I COMMERCIALISTI</w:t>
      </w:r>
    </w:p>
    <w:p w14:paraId="33EA45F1" w14:textId="5F7994E1" w:rsidR="00D346D2" w:rsidRPr="00D346D2" w:rsidRDefault="00D346D2" w:rsidP="009956C5">
      <w:pPr>
        <w:jc w:val="both"/>
        <w:rPr>
          <w:sz w:val="24"/>
          <w:szCs w:val="24"/>
        </w:rPr>
      </w:pPr>
      <w:r w:rsidRPr="00D346D2">
        <w:rPr>
          <w:sz w:val="24"/>
          <w:szCs w:val="24"/>
        </w:rPr>
        <w:t xml:space="preserve">La </w:t>
      </w:r>
      <w:r w:rsidRPr="0010194D">
        <w:rPr>
          <w:sz w:val="24"/>
          <w:szCs w:val="24"/>
        </w:rPr>
        <w:t>Guida Operativa di Intelligenza Artificiale</w:t>
      </w:r>
      <w:r w:rsidRPr="00D346D2">
        <w:rPr>
          <w:sz w:val="24"/>
          <w:szCs w:val="24"/>
        </w:rPr>
        <w:t xml:space="preserve"> della Fondazione Nazionale Commercialisti (di cui abbiamo già parlato) apre la lunga carrellata di operazioni che possono essere agevolate per mezzo della AI con </w:t>
      </w:r>
      <w:r>
        <w:rPr>
          <w:sz w:val="24"/>
          <w:szCs w:val="24"/>
        </w:rPr>
        <w:t>il tema della registrazione automatica della contabilità.</w:t>
      </w:r>
    </w:p>
    <w:p w14:paraId="526DFA27" w14:textId="099A7CF3" w:rsidR="004079F0" w:rsidRPr="00D346D2" w:rsidRDefault="004079F0" w:rsidP="009956C5">
      <w:pPr>
        <w:jc w:val="both"/>
        <w:rPr>
          <w:sz w:val="24"/>
          <w:szCs w:val="24"/>
        </w:rPr>
      </w:pPr>
      <w:r w:rsidRPr="00D346D2">
        <w:rPr>
          <w:sz w:val="24"/>
          <w:szCs w:val="24"/>
        </w:rPr>
        <w:t xml:space="preserve">In particolare, l’automazione delle registrazioni contabili, resa possibile dall’uso di algoritmi avanzati come il Machine Learning e la Robotic Process Automation (RPA), sta trasformando i processi amministrativi, portando efficienza e precisione. </w:t>
      </w:r>
    </w:p>
    <w:p w14:paraId="602292B1" w14:textId="10F3FDB6" w:rsidR="004079F0" w:rsidRPr="00D346D2" w:rsidRDefault="004079F0" w:rsidP="009956C5">
      <w:pPr>
        <w:jc w:val="both"/>
        <w:rPr>
          <w:sz w:val="24"/>
          <w:szCs w:val="24"/>
        </w:rPr>
      </w:pPr>
      <w:r w:rsidRPr="00D346D2">
        <w:rPr>
          <w:sz w:val="24"/>
          <w:szCs w:val="24"/>
        </w:rPr>
        <w:t>Le fatture elettroniche sono diventate uno strumento chiave per i</w:t>
      </w:r>
      <w:r w:rsidR="009956C5" w:rsidRPr="00D346D2">
        <w:rPr>
          <w:sz w:val="24"/>
          <w:szCs w:val="24"/>
        </w:rPr>
        <w:t xml:space="preserve"> </w:t>
      </w:r>
      <w:r w:rsidRPr="00D346D2">
        <w:rPr>
          <w:sz w:val="24"/>
          <w:szCs w:val="24"/>
        </w:rPr>
        <w:t>professionisti contabili. La loro struttura standardizzata consente di estrarre automaticamente informazioni chiave come i dati fiscali, gli importi e le scadenze. Grazie all'uso dell'IA, i commercialisti possono contare su strumenti capaci di interpretare e gestire queste fatture in modo molto più veloce e accurato rispetto ai tradizionali processi manuali.</w:t>
      </w:r>
    </w:p>
    <w:p w14:paraId="2962790D" w14:textId="1B7D22CA" w:rsidR="004079F0" w:rsidRPr="00D346D2" w:rsidRDefault="004079F0" w:rsidP="009956C5">
      <w:pPr>
        <w:jc w:val="both"/>
        <w:rPr>
          <w:sz w:val="24"/>
          <w:szCs w:val="24"/>
        </w:rPr>
      </w:pPr>
      <w:r w:rsidRPr="00D346D2">
        <w:rPr>
          <w:sz w:val="24"/>
          <w:szCs w:val="24"/>
        </w:rPr>
        <w:t>Un esempio rilevante di questa tecnologia è l’applicazione dei modelli di intelligenza artificiale che può essere utilizzato per analizzare le fatture elettroniche e suggerire il conto contabile corretto da applicare a ciascuna transazione. Questo tipo di automazione riduce il rischio di errore umano e accelera notevolmente l’intero processo di registrazione contabile. L’adozione di queste tecnologie rappresenta una vera rivoluzione, poiché permette ai commercialisti di dedicare meno tempo alle attività ripetitive e più tempo a quelle a maggior valore aggiunto, come l’analisi dei dati e la consulenza strategica.</w:t>
      </w:r>
    </w:p>
    <w:p w14:paraId="41CABF04" w14:textId="50C3BE05" w:rsidR="004079F0" w:rsidRPr="00D346D2" w:rsidRDefault="004079F0" w:rsidP="009956C5">
      <w:pPr>
        <w:jc w:val="both"/>
        <w:rPr>
          <w:sz w:val="24"/>
          <w:szCs w:val="24"/>
        </w:rPr>
      </w:pPr>
      <w:r w:rsidRPr="00D346D2">
        <w:rPr>
          <w:sz w:val="24"/>
          <w:szCs w:val="24"/>
        </w:rPr>
        <w:t>Uno degli strumenti più potenti per l’automazione delle fatture è la Robotic Process Automation, che va oltre la semplice gestione delle fatture. Un sistema RPA può, infatti, automatizzare l’intero processo di gestione, dall’accesso sicuro al portale dell’Agenzia delle Entrate fino all’elaborazione dei dati e all’integrazione con i software di contabilità. Questo sistema può scaricare automaticamente le fatture a intervalli regolari, categorizzare le transazioni e aggiornare i registri IVA e i libri contabili, riducendo al minimo l'intervento umano.</w:t>
      </w:r>
    </w:p>
    <w:p w14:paraId="1A0EC762" w14:textId="06B82D21" w:rsidR="004079F0" w:rsidRPr="00D346D2" w:rsidRDefault="004079F0" w:rsidP="009956C5">
      <w:pPr>
        <w:jc w:val="both"/>
        <w:rPr>
          <w:sz w:val="24"/>
          <w:szCs w:val="24"/>
        </w:rPr>
      </w:pPr>
      <w:r w:rsidRPr="00D346D2">
        <w:rPr>
          <w:sz w:val="24"/>
          <w:szCs w:val="24"/>
        </w:rPr>
        <w:t>Con un sistema RPA, lo stesso lavoro può essere completato in poche ore, con la massima precisione e senza errori. L’automazione RPA, quindi, non solo consente un risparmio di tempo, ma anche una gestione più efficace e accurata delle operazioni contabili, migliorando significativamente l’efficienza operativa.</w:t>
      </w:r>
    </w:p>
    <w:p w14:paraId="5FE8DC84" w14:textId="77777777" w:rsidR="004079F0" w:rsidRPr="00D346D2" w:rsidRDefault="004079F0" w:rsidP="009956C5">
      <w:pPr>
        <w:jc w:val="both"/>
        <w:rPr>
          <w:sz w:val="24"/>
          <w:szCs w:val="24"/>
        </w:rPr>
      </w:pPr>
      <w:r w:rsidRPr="00D346D2">
        <w:rPr>
          <w:sz w:val="24"/>
          <w:szCs w:val="24"/>
        </w:rPr>
        <w:t>Una volta completata l'implementazione, è fondamentale eseguire test approfonditi per assicurarsi che il sistema funzioni in modo accurato in tutte le possibili situazioni, comprese quelle anomale. Il passo finale consiste nell'integrazione del sistema RPA con il software di contabilità già in uso, per massimizzare l’efficienza e garantire un flusso di lavoro digitale omogeneo.</w:t>
      </w:r>
    </w:p>
    <w:p w14:paraId="2F3D2AAA" w14:textId="68283472" w:rsidR="00851C6C" w:rsidRPr="00D346D2" w:rsidRDefault="00D346D2">
      <w:pPr>
        <w:jc w:val="both"/>
        <w:rPr>
          <w:sz w:val="24"/>
          <w:szCs w:val="24"/>
        </w:rPr>
      </w:pPr>
      <w:r>
        <w:rPr>
          <w:sz w:val="24"/>
          <w:szCs w:val="24"/>
        </w:rPr>
        <w:t xml:space="preserve">Sul mercato </w:t>
      </w:r>
      <w:r w:rsidR="005418AB">
        <w:rPr>
          <w:sz w:val="24"/>
          <w:szCs w:val="24"/>
        </w:rPr>
        <w:t>stanno comparendo i</w:t>
      </w:r>
      <w:r>
        <w:rPr>
          <w:sz w:val="24"/>
          <w:szCs w:val="24"/>
        </w:rPr>
        <w:t xml:space="preserve"> primi tentativi di integrazione </w:t>
      </w:r>
      <w:r w:rsidR="00851C6C">
        <w:rPr>
          <w:sz w:val="24"/>
          <w:szCs w:val="24"/>
        </w:rPr>
        <w:t xml:space="preserve">nei gestionali dedicati ai commercialisti e alle aziende </w:t>
      </w:r>
      <w:r>
        <w:rPr>
          <w:sz w:val="24"/>
          <w:szCs w:val="24"/>
        </w:rPr>
        <w:t>di funzioni di contabilizzazione automatica</w:t>
      </w:r>
      <w:r w:rsidR="005418AB">
        <w:rPr>
          <w:sz w:val="24"/>
          <w:szCs w:val="24"/>
        </w:rPr>
        <w:t>.</w:t>
      </w:r>
      <w:r w:rsidR="00851C6C">
        <w:rPr>
          <w:sz w:val="24"/>
          <w:szCs w:val="24"/>
        </w:rPr>
        <w:t xml:space="preserve"> </w:t>
      </w:r>
      <w:r w:rsidR="005418AB">
        <w:rPr>
          <w:sz w:val="24"/>
          <w:szCs w:val="24"/>
        </w:rPr>
        <w:t>Si tratta di consentire il riconoscimento del conto corretto non solo in base al fornitore ma anche rispetto alle descrizioni basando le risposte sia sulle precedenti registrazioni dell’utente che degli altri utenti del software. O, almeno, questo è quanto promesso</w:t>
      </w:r>
      <w:r w:rsidR="00AA3B30">
        <w:rPr>
          <w:sz w:val="24"/>
          <w:szCs w:val="24"/>
        </w:rPr>
        <w:t xml:space="preserve"> dalle software house.</w:t>
      </w:r>
    </w:p>
    <w:sectPr w:rsidR="00851C6C" w:rsidRPr="00D346D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9F0"/>
    <w:rsid w:val="00171406"/>
    <w:rsid w:val="00241DFF"/>
    <w:rsid w:val="004079F0"/>
    <w:rsid w:val="005418AB"/>
    <w:rsid w:val="005F2644"/>
    <w:rsid w:val="00851C6C"/>
    <w:rsid w:val="00982388"/>
    <w:rsid w:val="009956C5"/>
    <w:rsid w:val="009D219B"/>
    <w:rsid w:val="00A62740"/>
    <w:rsid w:val="00AA3B30"/>
    <w:rsid w:val="00AB582C"/>
    <w:rsid w:val="00AB5F05"/>
    <w:rsid w:val="00BB4E98"/>
    <w:rsid w:val="00D346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F8FE3"/>
  <w15:chartTrackingRefBased/>
  <w15:docId w15:val="{B0DBEE54-BC45-4E88-9ADC-9C8342FA9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07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07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079F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079F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079F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079F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079F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079F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079F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079F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079F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079F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079F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079F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079F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079F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079F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079F0"/>
    <w:rPr>
      <w:rFonts w:eastAsiaTheme="majorEastAsia" w:cstheme="majorBidi"/>
      <w:color w:val="272727" w:themeColor="text1" w:themeTint="D8"/>
    </w:rPr>
  </w:style>
  <w:style w:type="paragraph" w:styleId="Titolo">
    <w:name w:val="Title"/>
    <w:basedOn w:val="Normale"/>
    <w:next w:val="Normale"/>
    <w:link w:val="TitoloCarattere"/>
    <w:uiPriority w:val="10"/>
    <w:qFormat/>
    <w:rsid w:val="00407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079F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079F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079F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079F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079F0"/>
    <w:rPr>
      <w:i/>
      <w:iCs/>
      <w:color w:val="404040" w:themeColor="text1" w:themeTint="BF"/>
    </w:rPr>
  </w:style>
  <w:style w:type="paragraph" w:styleId="Paragrafoelenco">
    <w:name w:val="List Paragraph"/>
    <w:basedOn w:val="Normale"/>
    <w:uiPriority w:val="34"/>
    <w:qFormat/>
    <w:rsid w:val="004079F0"/>
    <w:pPr>
      <w:ind w:left="720"/>
      <w:contextualSpacing/>
    </w:pPr>
  </w:style>
  <w:style w:type="character" w:styleId="Enfasiintensa">
    <w:name w:val="Intense Emphasis"/>
    <w:basedOn w:val="Carpredefinitoparagrafo"/>
    <w:uiPriority w:val="21"/>
    <w:qFormat/>
    <w:rsid w:val="004079F0"/>
    <w:rPr>
      <w:i/>
      <w:iCs/>
      <w:color w:val="0F4761" w:themeColor="accent1" w:themeShade="BF"/>
    </w:rPr>
  </w:style>
  <w:style w:type="paragraph" w:styleId="Citazioneintensa">
    <w:name w:val="Intense Quote"/>
    <w:basedOn w:val="Normale"/>
    <w:next w:val="Normale"/>
    <w:link w:val="CitazioneintensaCarattere"/>
    <w:uiPriority w:val="30"/>
    <w:qFormat/>
    <w:rsid w:val="00407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079F0"/>
    <w:rPr>
      <w:i/>
      <w:iCs/>
      <w:color w:val="0F4761" w:themeColor="accent1" w:themeShade="BF"/>
    </w:rPr>
  </w:style>
  <w:style w:type="character" w:styleId="Riferimentointenso">
    <w:name w:val="Intense Reference"/>
    <w:basedOn w:val="Carpredefinitoparagrafo"/>
    <w:uiPriority w:val="32"/>
    <w:qFormat/>
    <w:rsid w:val="004079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396377">
      <w:bodyDiv w:val="1"/>
      <w:marLeft w:val="0"/>
      <w:marRight w:val="0"/>
      <w:marTop w:val="0"/>
      <w:marBottom w:val="0"/>
      <w:divBdr>
        <w:top w:val="none" w:sz="0" w:space="0" w:color="auto"/>
        <w:left w:val="none" w:sz="0" w:space="0" w:color="auto"/>
        <w:bottom w:val="none" w:sz="0" w:space="0" w:color="auto"/>
        <w:right w:val="none" w:sz="0" w:space="0" w:color="auto"/>
      </w:divBdr>
    </w:div>
    <w:div w:id="918179169">
      <w:bodyDiv w:val="1"/>
      <w:marLeft w:val="0"/>
      <w:marRight w:val="0"/>
      <w:marTop w:val="0"/>
      <w:marBottom w:val="0"/>
      <w:divBdr>
        <w:top w:val="none" w:sz="0" w:space="0" w:color="auto"/>
        <w:left w:val="none" w:sz="0" w:space="0" w:color="auto"/>
        <w:bottom w:val="none" w:sz="0" w:space="0" w:color="auto"/>
        <w:right w:val="none" w:sz="0" w:space="0" w:color="auto"/>
      </w:divBdr>
    </w:div>
    <w:div w:id="1074201699">
      <w:bodyDiv w:val="1"/>
      <w:marLeft w:val="0"/>
      <w:marRight w:val="0"/>
      <w:marTop w:val="0"/>
      <w:marBottom w:val="0"/>
      <w:divBdr>
        <w:top w:val="none" w:sz="0" w:space="0" w:color="auto"/>
        <w:left w:val="none" w:sz="0" w:space="0" w:color="auto"/>
        <w:bottom w:val="none" w:sz="0" w:space="0" w:color="auto"/>
        <w:right w:val="none" w:sz="0" w:space="0" w:color="auto"/>
      </w:divBdr>
    </w:div>
    <w:div w:id="167375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1EE647-C7D6-436C-A994-C693FB1F582E}">
  <ds:schemaRefs>
    <ds:schemaRef ds:uri="http://schemas.microsoft.com/sharepoint/v3/contenttype/forms"/>
  </ds:schemaRefs>
</ds:datastoreItem>
</file>

<file path=customXml/itemProps2.xml><?xml version="1.0" encoding="utf-8"?>
<ds:datastoreItem xmlns:ds="http://schemas.openxmlformats.org/officeDocument/2006/customXml" ds:itemID="{46E2FD47-5066-44E0-9A89-2F8913E514E0}"/>
</file>

<file path=customXml/itemProps3.xml><?xml version="1.0" encoding="utf-8"?>
<ds:datastoreItem xmlns:ds="http://schemas.openxmlformats.org/officeDocument/2006/customXml" ds:itemID="{945022DB-4384-4749-AC19-DCE1A843FBA5}">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501</Words>
  <Characters>2861</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2</cp:revision>
  <dcterms:created xsi:type="dcterms:W3CDTF">2024-10-24T11:03:00Z</dcterms:created>
  <dcterms:modified xsi:type="dcterms:W3CDTF">2024-10-26T15:00:00Z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