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19FF" w14:textId="77777777" w:rsidR="008F06FA" w:rsidRDefault="00C07DF8" w:rsidP="00E31A4B">
      <w:pPr>
        <w:jc w:val="both"/>
        <w:rPr>
          <w:rStyle w:val="Titolo2Carattere"/>
        </w:rPr>
      </w:pPr>
      <w:r w:rsidRPr="008F06FA">
        <w:rPr>
          <w:rStyle w:val="Titolo2Carattere"/>
        </w:rPr>
        <w:t>Titolo</w:t>
      </w:r>
    </w:p>
    <w:p w14:paraId="23C14676" w14:textId="6067A94D"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L’AI come praticante instancabile: cosa può fare oggi senza creare danni</w:t>
      </w:r>
    </w:p>
    <w:p w14:paraId="3444A26C" w14:textId="77777777" w:rsidR="008F06FA" w:rsidRDefault="00C07DF8" w:rsidP="008F06FA">
      <w:pPr>
        <w:jc w:val="both"/>
        <w:rPr>
          <w:rStyle w:val="Titolo2Carattere"/>
        </w:rPr>
      </w:pPr>
      <w:r w:rsidRPr="008F06FA">
        <w:rPr>
          <w:rStyle w:val="Titolo2Carattere"/>
        </w:rPr>
        <w:t>Sottotitolo</w:t>
      </w:r>
    </w:p>
    <w:p w14:paraId="48B8D6C9" w14:textId="4817E5C5"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Checklist, bozze, sintesi, simulazioni: dove l’intelligenza artificiale funziona davvero e dove, invece, va tenuta rigorosamente al guinzaglio.</w:t>
      </w:r>
    </w:p>
    <w:p w14:paraId="7614C684" w14:textId="77777777" w:rsidR="00C07DF8" w:rsidRPr="00C07DF8" w:rsidRDefault="00C07DF8" w:rsidP="008F06FA">
      <w:pPr>
        <w:pStyle w:val="Titolo2"/>
      </w:pPr>
      <w:r w:rsidRPr="00C07DF8">
        <w:t>Approfondimento</w:t>
      </w:r>
    </w:p>
    <w:p w14:paraId="1610AC91" w14:textId="4A453D2F"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 xml:space="preserve">Nel lessico degli studi professionali l’idea di un “praticante instancabile” evoca una risorsa sempre disponibile, capace di assorbire attività ripetitive e liberare tempo per le fasi a maggior contenuto decisionale. È esattamente in questo spazio che l’intelligenza artificiale sta trovando una collocazione sempre più concreta: </w:t>
      </w:r>
      <w:r w:rsidR="00E31A4B">
        <w:t xml:space="preserve">un </w:t>
      </w:r>
      <w:r w:rsidRPr="00C07DF8">
        <w:t>supporto operativo in grado di aumentare l’efficienza complessiva dello studio.</w:t>
      </w:r>
    </w:p>
    <w:p w14:paraId="18B8FED6" w14:textId="77777777"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 xml:space="preserve">L’ambito nel quale l’AI mostra oggi i risultati più affidabili è quello delle </w:t>
      </w:r>
      <w:r w:rsidRPr="004F2E73">
        <w:rPr>
          <w:b/>
          <w:bCs/>
        </w:rPr>
        <w:t>attività preparatorie</w:t>
      </w:r>
      <w:r w:rsidRPr="00C07DF8">
        <w:t>. La predisposizione di checklist, la strutturazione di bozze, la sintesi di documenti articolati o la ricostruzione preliminare di un quadro normativo rappresentano esempi di utilizzo nei quali il valore dello strumento appare immediatamente percepibile. Ridurre il tempo necessario per organizzare le informazioni consente infatti di concentrare le energie sull’analisi critica, che resta il nucleo della prestazione professionale.</w:t>
      </w:r>
    </w:p>
    <w:p w14:paraId="0C150826" w14:textId="77777777"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Un ulteriore impiego riguarda le simulazioni. Interrogare un sistema per esplorare scenari alternativi, verificare la coerenza di un ragionamento o individuare variabili da approfondire non significa delegare la decisione, ma ampliare il perimetro dell’analisi. Se utilizzata con questo approccio, l’AI diventa un acceleratore del processo logico, non un suo sostituto.</w:t>
      </w:r>
    </w:p>
    <w:p w14:paraId="1DE65A52" w14:textId="77777777"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Proprio questa distinzione aiuta a comprendere anche i limiti dello strumento. L’intelligenza artificiale opera per correlazioni probabilistiche e può restituire risultati formalmente convincenti ma non sempre corretti nel merito. L’errore più insidioso non è quello evidente, bensì quello plausibile: una ricostruzione coerente nella forma che rischia di essere accolta senza un’adeguata verifica.</w:t>
      </w:r>
    </w:p>
    <w:p w14:paraId="2923BE54" w14:textId="77777777"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Per questa ragione, l’AI richiede un presidio metodologico chiaro. Può elaborare una prima bozza, ma non validarla; può suggerire un percorso argomentativo, ma non assumersene la responsabilità; può accelerare la ricerca, ma non sostituire il giudizio. Il controllo umano non rappresenta un passaggio accessorio, bensì la condizione che rende l’automazione compatibile con l’esercizio della professione.</w:t>
      </w:r>
    </w:p>
    <w:p w14:paraId="5B495B61" w14:textId="33309A39"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 xml:space="preserve">Diventa allora utile adottare una logica di utilizzo selettivo. Affidare alla tecnologia le attività a basso rischio interpretativo e mantenere in capo al professionista le fasi che implicano valutazioni, scelte e assunzione di responsabilità. </w:t>
      </w:r>
    </w:p>
    <w:p w14:paraId="40C3C0AF" w14:textId="71BB263B"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Vi è, infine, un effetto organizzativo da non trascurare. Uno strumento capace di comprimere i tempi delle lavorazioni modifica inevitabilmente le aspettative interne ed esterne allo studio. L’efficienza diventa rapidamente uno standard e impone una riflessione su processi, controlli e modalità di supervisione.</w:t>
      </w:r>
      <w:r w:rsidR="008F06FA">
        <w:t xml:space="preserve"> </w:t>
      </w:r>
      <w:r w:rsidRPr="00C07DF8">
        <w:t>Considerare l’intelligenza artificiale come un praticante instancabile è, in fondo, una metafora utile, purché non venga fraintesa. Anche il miglior praticante necessita di guida, revisione e responsabilità gerarchica. Allo stesso modo, l’AI esprime il proprio potenziale solo quando inserita in un perimetro operativo definito</w:t>
      </w:r>
      <w:r w:rsidR="008F06FA">
        <w:t xml:space="preserve"> e le regole di ingaggio devono essere chiarite a tutto lo studio.</w:t>
      </w:r>
    </w:p>
    <w:p w14:paraId="30C3DA62" w14:textId="58A66DB8" w:rsidR="00C07DF8" w:rsidRPr="00C07DF8" w:rsidRDefault="00C07DF8" w:rsidP="008F06FA">
      <w:pPr>
        <w:pBdr>
          <w:top w:val="single" w:sz="4" w:space="1" w:color="auto"/>
          <w:left w:val="single" w:sz="4" w:space="4" w:color="auto"/>
          <w:bottom w:val="single" w:sz="4" w:space="1" w:color="auto"/>
          <w:right w:val="single" w:sz="4" w:space="4" w:color="auto"/>
        </w:pBdr>
        <w:jc w:val="both"/>
      </w:pPr>
      <w:r w:rsidRPr="00C07DF8">
        <w:t>La questione non è stabilire quanto lavoro possa essere delegato alla macchina, ma comprendere quale parte debba restare necessariamente umana</w:t>
      </w:r>
      <w:r w:rsidR="001B22BB">
        <w:t xml:space="preserve"> e personalizzare l’intervento e l’utilizzo dell’intelligenza artificiale in base a esperienza, inventiva e intuito del professionista</w:t>
      </w:r>
      <w:r w:rsidRPr="00C07DF8">
        <w:t>.</w:t>
      </w:r>
      <w:r w:rsidR="001B22BB">
        <w:t xml:space="preserve"> Del resto,</w:t>
      </w:r>
      <w:r w:rsidRPr="00C07DF8">
        <w:t xml:space="preserve"> </w:t>
      </w:r>
      <w:r w:rsidR="001B22BB">
        <w:t>s</w:t>
      </w:r>
      <w:r w:rsidR="00EB042E">
        <w:t xml:space="preserve">e il </w:t>
      </w:r>
      <w:r w:rsidR="00973B6D">
        <w:lastRenderedPageBreak/>
        <w:t>risultato che sto vendendo al cliente equivale</w:t>
      </w:r>
      <w:r w:rsidR="00CE55A0">
        <w:t>sse</w:t>
      </w:r>
      <w:r w:rsidR="00973B6D">
        <w:t xml:space="preserve"> pedis</w:t>
      </w:r>
      <w:r w:rsidR="00443589">
        <w:t xml:space="preserve">sequamente a quello che potrebbe ottenere da </w:t>
      </w:r>
      <w:proofErr w:type="gramStart"/>
      <w:r w:rsidR="00443589">
        <w:t>un chatbot</w:t>
      </w:r>
      <w:proofErr w:type="gramEnd"/>
      <w:r w:rsidR="00443589">
        <w:t xml:space="preserve"> </w:t>
      </w:r>
      <w:r w:rsidR="00C54542">
        <w:t>da 20€</w:t>
      </w:r>
      <w:r w:rsidR="00254D39">
        <w:t>, perché mai dovrebbe continuare ad avvalersi dei miei servizi?</w:t>
      </w:r>
      <w:r w:rsidR="00C54542">
        <w:t xml:space="preserve"> </w:t>
      </w:r>
    </w:p>
    <w:sectPr w:rsidR="00C07DF8" w:rsidRPr="00C07DF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0A1"/>
    <w:rsid w:val="001B22BB"/>
    <w:rsid w:val="00254D39"/>
    <w:rsid w:val="00345D92"/>
    <w:rsid w:val="003D42C6"/>
    <w:rsid w:val="00443589"/>
    <w:rsid w:val="004F2E73"/>
    <w:rsid w:val="006614B5"/>
    <w:rsid w:val="006700A1"/>
    <w:rsid w:val="00770D3D"/>
    <w:rsid w:val="00867FD1"/>
    <w:rsid w:val="008F06FA"/>
    <w:rsid w:val="00973B6D"/>
    <w:rsid w:val="009A468F"/>
    <w:rsid w:val="00AB3E34"/>
    <w:rsid w:val="00B637A4"/>
    <w:rsid w:val="00B912B7"/>
    <w:rsid w:val="00C07DF8"/>
    <w:rsid w:val="00C54542"/>
    <w:rsid w:val="00CE55A0"/>
    <w:rsid w:val="00D72922"/>
    <w:rsid w:val="00E31A4B"/>
    <w:rsid w:val="00E73365"/>
    <w:rsid w:val="00EB042E"/>
    <w:rsid w:val="00F17A0B"/>
    <w:rsid w:val="00FB4E79"/>
    <w:rsid w:val="00FE33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6AAC"/>
  <w15:chartTrackingRefBased/>
  <w15:docId w15:val="{4D83E353-C294-4D21-99D8-DECA4EAA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70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F06FA"/>
    <w:pPr>
      <w:jc w:val="both"/>
      <w:outlineLvl w:val="1"/>
    </w:pPr>
    <w:rPr>
      <w:rFonts w:ascii="Aptos Display" w:eastAsiaTheme="minorEastAsia" w:hAnsi="Aptos Display"/>
      <w:color w:val="0F4761" w:themeColor="accent1" w:themeShade="BF"/>
      <w:kern w:val="0"/>
      <w:lang w:eastAsia="it-IT"/>
      <w14:ligatures w14:val="none"/>
    </w:rPr>
  </w:style>
  <w:style w:type="paragraph" w:styleId="Titolo3">
    <w:name w:val="heading 3"/>
    <w:basedOn w:val="Normale"/>
    <w:next w:val="Normale"/>
    <w:link w:val="Titolo3Carattere"/>
    <w:uiPriority w:val="9"/>
    <w:semiHidden/>
    <w:unhideWhenUsed/>
    <w:qFormat/>
    <w:rsid w:val="006700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700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700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700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700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700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700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700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F06FA"/>
    <w:rPr>
      <w:rFonts w:ascii="Aptos Display" w:eastAsiaTheme="minorEastAsia" w:hAnsi="Aptos Display"/>
      <w:color w:val="0F4761" w:themeColor="accent1" w:themeShade="BF"/>
      <w:kern w:val="0"/>
      <w:lang w:eastAsia="it-IT"/>
      <w14:ligatures w14:val="none"/>
    </w:rPr>
  </w:style>
  <w:style w:type="character" w:customStyle="1" w:styleId="Titolo3Carattere">
    <w:name w:val="Titolo 3 Carattere"/>
    <w:basedOn w:val="Carpredefinitoparagrafo"/>
    <w:link w:val="Titolo3"/>
    <w:uiPriority w:val="9"/>
    <w:semiHidden/>
    <w:rsid w:val="006700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700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700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700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700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700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700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670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700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700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700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700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700A1"/>
    <w:rPr>
      <w:i/>
      <w:iCs/>
      <w:color w:val="404040" w:themeColor="text1" w:themeTint="BF"/>
    </w:rPr>
  </w:style>
  <w:style w:type="paragraph" w:styleId="Paragrafoelenco">
    <w:name w:val="List Paragraph"/>
    <w:basedOn w:val="Normale"/>
    <w:uiPriority w:val="34"/>
    <w:qFormat/>
    <w:rsid w:val="006700A1"/>
    <w:pPr>
      <w:ind w:left="720"/>
      <w:contextualSpacing/>
    </w:pPr>
  </w:style>
  <w:style w:type="character" w:styleId="Enfasiintensa">
    <w:name w:val="Intense Emphasis"/>
    <w:basedOn w:val="Carpredefinitoparagrafo"/>
    <w:uiPriority w:val="21"/>
    <w:qFormat/>
    <w:rsid w:val="006700A1"/>
    <w:rPr>
      <w:i/>
      <w:iCs/>
      <w:color w:val="0F4761" w:themeColor="accent1" w:themeShade="BF"/>
    </w:rPr>
  </w:style>
  <w:style w:type="paragraph" w:styleId="Citazioneintensa">
    <w:name w:val="Intense Quote"/>
    <w:basedOn w:val="Normale"/>
    <w:next w:val="Normale"/>
    <w:link w:val="CitazioneintensaCarattere"/>
    <w:uiPriority w:val="30"/>
    <w:qFormat/>
    <w:rsid w:val="00670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700A1"/>
    <w:rPr>
      <w:i/>
      <w:iCs/>
      <w:color w:val="0F4761" w:themeColor="accent1" w:themeShade="BF"/>
    </w:rPr>
  </w:style>
  <w:style w:type="character" w:styleId="Riferimentointenso">
    <w:name w:val="Intense Reference"/>
    <w:basedOn w:val="Carpredefinitoparagrafo"/>
    <w:uiPriority w:val="32"/>
    <w:qFormat/>
    <w:rsid w:val="00670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23D2A1-2D2C-4B65-AFCB-FF69FFE95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519FFE-1A68-4CE4-B7BA-A9C4086AA472}">
  <ds:schemaRefs>
    <ds:schemaRef ds:uri="http://schemas.microsoft.com/sharepoint/v3/contenttype/forms"/>
  </ds:schemaRefs>
</ds:datastoreItem>
</file>

<file path=customXml/itemProps3.xml><?xml version="1.0" encoding="utf-8"?>
<ds:datastoreItem xmlns:ds="http://schemas.openxmlformats.org/officeDocument/2006/customXml" ds:itemID="{89B47920-3644-4EF1-95B3-5F30F0AC15B9}">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5</cp:revision>
  <dcterms:created xsi:type="dcterms:W3CDTF">2026-03-03T09:54:00Z</dcterms:created>
  <dcterms:modified xsi:type="dcterms:W3CDTF">2026-03-03T10:39:00Z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