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091" w14:textId="77777777" w:rsidR="00EC11C5" w:rsidRPr="00EE2E83" w:rsidRDefault="00EC11C5" w:rsidP="00C553FA">
      <w:pPr>
        <w:jc w:val="both"/>
        <w:rPr>
          <w:rFonts w:asciiTheme="majorHAnsi" w:hAnsiTheme="majorHAnsi"/>
        </w:rPr>
      </w:pPr>
    </w:p>
    <w:p w14:paraId="68478378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Titolo</w:t>
      </w:r>
    </w:p>
    <w:p w14:paraId="4254D3C2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057C5985" w14:textId="17B38DFF" w:rsidR="004B694C" w:rsidRPr="004B694C" w:rsidRDefault="00632BDD" w:rsidP="004B6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  <w:b/>
          <w:bCs/>
        </w:rPr>
      </w:pPr>
      <w:r w:rsidRPr="00235505">
        <w:rPr>
          <w:rFonts w:asciiTheme="majorHAnsi" w:hAnsiTheme="majorHAnsi"/>
          <w:b/>
          <w:bCs/>
        </w:rPr>
        <w:t>Come scegliere un LLM verticale specialistico</w:t>
      </w:r>
    </w:p>
    <w:p w14:paraId="4CD81E43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Sottotitolo</w:t>
      </w:r>
    </w:p>
    <w:p w14:paraId="54B950B7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67B2D945" w14:textId="20D9723E" w:rsidR="005B2752" w:rsidRPr="005B2752" w:rsidRDefault="009F31E4" w:rsidP="005B2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9F31E4">
        <w:rPr>
          <w:rFonts w:asciiTheme="majorHAnsi" w:hAnsiTheme="majorHAnsi"/>
        </w:rPr>
        <w:t xml:space="preserve">I modelli generalisti sono accessibili e facilmente testabili. La scelta di un LLM verticale, invece, implica un investimento più rilevante. Quattro pilastri guidano la valutazione: architettura anti-allucinazioni, </w:t>
      </w:r>
      <w:proofErr w:type="spellStart"/>
      <w:r w:rsidRPr="009F31E4">
        <w:rPr>
          <w:rFonts w:asciiTheme="majorHAnsi" w:hAnsiTheme="majorHAnsi"/>
        </w:rPr>
        <w:t>embeddings</w:t>
      </w:r>
      <w:proofErr w:type="spellEnd"/>
      <w:r w:rsidRPr="009F31E4">
        <w:rPr>
          <w:rFonts w:asciiTheme="majorHAnsi" w:hAnsiTheme="majorHAnsi"/>
        </w:rPr>
        <w:t>, analisi ex-post e controllo normativo.</w:t>
      </w:r>
    </w:p>
    <w:p w14:paraId="46F1D5EE" w14:textId="39D69CA3" w:rsidR="00C553FA" w:rsidRDefault="00C553FA" w:rsidP="00C553FA">
      <w:pPr>
        <w:spacing w:after="0" w:line="240" w:lineRule="auto"/>
        <w:contextualSpacing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Approfondimento</w:t>
      </w:r>
    </w:p>
    <w:p w14:paraId="7BC1F606" w14:textId="77777777" w:rsidR="00287908" w:rsidRPr="00C553FA" w:rsidRDefault="00287908" w:rsidP="00C553FA">
      <w:pPr>
        <w:spacing w:after="0" w:line="240" w:lineRule="auto"/>
        <w:contextualSpacing/>
        <w:rPr>
          <w:rFonts w:asciiTheme="majorHAnsi" w:hAnsiTheme="majorHAnsi"/>
          <w:b/>
          <w:bCs/>
          <w:sz w:val="24"/>
          <w:szCs w:val="24"/>
        </w:rPr>
      </w:pPr>
    </w:p>
    <w:p w14:paraId="77B83097" w14:textId="77777777" w:rsidR="006427B9" w:rsidRDefault="006427B9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6427B9">
        <w:rPr>
          <w:rFonts w:asciiTheme="majorHAnsi" w:hAnsiTheme="majorHAnsi"/>
        </w:rPr>
        <w:t>La scelta di un modello linguistico verticale è strategica e ha un forte impatto su un progetto digitale. I modelli generalisti sono utili per test veloci e applicazioni ampie, mentre quelli specialistici offrono vantaggi competitivi nei settori complessi. Quali criteri utilizzare per scegliere un LLM verticale?</w:t>
      </w:r>
    </w:p>
    <w:p w14:paraId="2E14845C" w14:textId="592715E2" w:rsidR="009F31E4" w:rsidRPr="009F31E4" w:rsidRDefault="006427B9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7A6C57">
        <w:rPr>
          <w:rFonts w:asciiTheme="majorHAnsi" w:hAnsiTheme="majorHAnsi"/>
          <w:b/>
          <w:bCs/>
        </w:rPr>
        <w:t>La prima caratteristica</w:t>
      </w:r>
      <w:r>
        <w:rPr>
          <w:rFonts w:asciiTheme="majorHAnsi" w:hAnsiTheme="majorHAnsi"/>
        </w:rPr>
        <w:t xml:space="preserve"> da </w:t>
      </w:r>
      <w:r w:rsidR="007A6C57">
        <w:rPr>
          <w:rFonts w:asciiTheme="majorHAnsi" w:hAnsiTheme="majorHAnsi"/>
        </w:rPr>
        <w:t xml:space="preserve">valutare </w:t>
      </w:r>
      <w:r w:rsidR="009F31E4" w:rsidRPr="009F31E4">
        <w:rPr>
          <w:rFonts w:asciiTheme="majorHAnsi" w:hAnsiTheme="majorHAnsi"/>
        </w:rPr>
        <w:t xml:space="preserve">è </w:t>
      </w:r>
      <w:r w:rsidR="009F31E4" w:rsidRPr="009F31E4">
        <w:rPr>
          <w:rFonts w:asciiTheme="majorHAnsi" w:hAnsiTheme="majorHAnsi"/>
          <w:b/>
          <w:bCs/>
        </w:rPr>
        <w:t>l’architettura progettata per contenere le allucinazioni</w:t>
      </w:r>
      <w:r w:rsidR="009F31E4" w:rsidRPr="009F31E4">
        <w:rPr>
          <w:rFonts w:asciiTheme="majorHAnsi" w:hAnsiTheme="majorHAnsi"/>
        </w:rPr>
        <w:t>. I sistemi più avanzati adottano una struttura gerarchica: il modello principale produce la risposta, mentre livelli successivi di modelli secondari la verificano sotto profili diversi (coerenza logica, aderenza ai dati, rispetto delle norme)</w:t>
      </w:r>
      <w:r w:rsidR="006E7F4A">
        <w:rPr>
          <w:rFonts w:asciiTheme="majorHAnsi" w:hAnsiTheme="majorHAnsi"/>
        </w:rPr>
        <w:t xml:space="preserve">, </w:t>
      </w:r>
      <w:r w:rsidR="009F31E4" w:rsidRPr="009F31E4">
        <w:rPr>
          <w:rFonts w:asciiTheme="majorHAnsi" w:hAnsiTheme="majorHAnsi"/>
        </w:rPr>
        <w:t>riduce</w:t>
      </w:r>
      <w:r w:rsidR="006E7F4A">
        <w:rPr>
          <w:rFonts w:asciiTheme="majorHAnsi" w:hAnsiTheme="majorHAnsi"/>
        </w:rPr>
        <w:t>ndo</w:t>
      </w:r>
      <w:r w:rsidR="009F31E4" w:rsidRPr="009F31E4">
        <w:rPr>
          <w:rFonts w:asciiTheme="majorHAnsi" w:hAnsiTheme="majorHAnsi"/>
        </w:rPr>
        <w:t xml:space="preserve"> sensibilmente gli errori</w:t>
      </w:r>
      <w:r w:rsidR="006E7F4A">
        <w:rPr>
          <w:rFonts w:asciiTheme="majorHAnsi" w:hAnsiTheme="majorHAnsi"/>
        </w:rPr>
        <w:t xml:space="preserve"> (</w:t>
      </w:r>
      <w:r w:rsidR="009F31E4" w:rsidRPr="009F31E4">
        <w:rPr>
          <w:rFonts w:asciiTheme="majorHAnsi" w:hAnsiTheme="majorHAnsi"/>
        </w:rPr>
        <w:t xml:space="preserve">il tasso di allucinazioni </w:t>
      </w:r>
      <w:r w:rsidR="006E7F4A">
        <w:rPr>
          <w:rFonts w:asciiTheme="majorHAnsi" w:hAnsiTheme="majorHAnsi"/>
        </w:rPr>
        <w:t xml:space="preserve">passa dal </w:t>
      </w:r>
      <w:r w:rsidR="009F31E4" w:rsidRPr="009F31E4">
        <w:rPr>
          <w:rFonts w:asciiTheme="majorHAnsi" w:hAnsiTheme="majorHAnsi"/>
        </w:rPr>
        <w:t xml:space="preserve">15% in scenari specialistici, </w:t>
      </w:r>
      <w:r w:rsidR="006E7F4A">
        <w:rPr>
          <w:rFonts w:asciiTheme="majorHAnsi" w:hAnsiTheme="majorHAnsi"/>
        </w:rPr>
        <w:t>al</w:t>
      </w:r>
      <w:r w:rsidR="009F31E4" w:rsidRPr="009F31E4">
        <w:rPr>
          <w:rFonts w:asciiTheme="majorHAnsi" w:hAnsiTheme="majorHAnsi"/>
        </w:rPr>
        <w:t xml:space="preserve"> 3%</w:t>
      </w:r>
      <w:r w:rsidR="006E7F4A">
        <w:rPr>
          <w:rFonts w:asciiTheme="majorHAnsi" w:hAnsiTheme="majorHAnsi"/>
        </w:rPr>
        <w:t>)</w:t>
      </w:r>
      <w:r w:rsidR="009F31E4" w:rsidRPr="009F31E4">
        <w:rPr>
          <w:rFonts w:asciiTheme="majorHAnsi" w:hAnsiTheme="majorHAnsi"/>
        </w:rPr>
        <w:t>.</w:t>
      </w:r>
    </w:p>
    <w:p w14:paraId="64269131" w14:textId="236E0F62" w:rsidR="009F31E4" w:rsidRPr="009F31E4" w:rsidRDefault="009F31E4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9F31E4">
        <w:rPr>
          <w:rFonts w:asciiTheme="majorHAnsi" w:hAnsiTheme="majorHAnsi"/>
          <w:b/>
          <w:bCs/>
        </w:rPr>
        <w:t xml:space="preserve">Il secondo </w:t>
      </w:r>
      <w:r w:rsidR="007A6C57" w:rsidRPr="007A6C57">
        <w:rPr>
          <w:rFonts w:asciiTheme="majorHAnsi" w:hAnsiTheme="majorHAnsi"/>
          <w:b/>
          <w:bCs/>
        </w:rPr>
        <w:t>elemento</w:t>
      </w:r>
      <w:r w:rsidR="007A6C57">
        <w:rPr>
          <w:rFonts w:asciiTheme="majorHAnsi" w:hAnsiTheme="majorHAnsi"/>
        </w:rPr>
        <w:t xml:space="preserve"> </w:t>
      </w:r>
      <w:r w:rsidRPr="009F31E4">
        <w:rPr>
          <w:rFonts w:asciiTheme="majorHAnsi" w:hAnsiTheme="majorHAnsi"/>
        </w:rPr>
        <w:t xml:space="preserve">è la </w:t>
      </w:r>
      <w:r w:rsidRPr="009F31E4">
        <w:rPr>
          <w:rFonts w:asciiTheme="majorHAnsi" w:hAnsiTheme="majorHAnsi"/>
          <w:b/>
          <w:bCs/>
        </w:rPr>
        <w:t xml:space="preserve">qualità degli </w:t>
      </w:r>
      <w:proofErr w:type="spellStart"/>
      <w:r w:rsidRPr="009F31E4">
        <w:rPr>
          <w:rFonts w:asciiTheme="majorHAnsi" w:hAnsiTheme="majorHAnsi"/>
          <w:b/>
          <w:bCs/>
        </w:rPr>
        <w:t>embeddings</w:t>
      </w:r>
      <w:proofErr w:type="spellEnd"/>
      <w:r w:rsidRPr="009F31E4">
        <w:rPr>
          <w:rFonts w:asciiTheme="majorHAnsi" w:hAnsiTheme="majorHAnsi"/>
          <w:b/>
          <w:bCs/>
        </w:rPr>
        <w:t xml:space="preserve"> documentali</w:t>
      </w:r>
      <w:r w:rsidRPr="009F31E4">
        <w:rPr>
          <w:rFonts w:asciiTheme="majorHAnsi" w:hAnsiTheme="majorHAnsi"/>
        </w:rPr>
        <w:t xml:space="preserve">. Non basta che il modello processi testo: deve saper costruire rappresentazioni vettoriali che catturino le relazioni semantiche più sottili. È ciò che consente di distinguere concetti simili nella forma ma lontani nelle conseguenze. Pensiamo alla distinzione giuridica fra responsabilità contrattuale ed extracontrattuale: un LLM generalista può confonderle, mentre un modello verticale con </w:t>
      </w:r>
      <w:proofErr w:type="spellStart"/>
      <w:r w:rsidRPr="009F31E4">
        <w:rPr>
          <w:rFonts w:asciiTheme="majorHAnsi" w:hAnsiTheme="majorHAnsi"/>
        </w:rPr>
        <w:t>embeddings</w:t>
      </w:r>
      <w:proofErr w:type="spellEnd"/>
      <w:r w:rsidRPr="009F31E4">
        <w:rPr>
          <w:rFonts w:asciiTheme="majorHAnsi" w:hAnsiTheme="majorHAnsi"/>
        </w:rPr>
        <w:t xml:space="preserve"> raffinati riesce a preservarne il significato specialistico e l’impatto normativo. La valutazione non può avvenire in astratto: servono test su corpus reali del settore per verificare la capacità del sistema di mantenere il contesto anche su documenti complessi e di lunga durata.</w:t>
      </w:r>
    </w:p>
    <w:p w14:paraId="369CE17D" w14:textId="5457E677" w:rsidR="009F31E4" w:rsidRPr="009F31E4" w:rsidRDefault="00A32EAC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CF4B5C">
        <w:rPr>
          <w:rFonts w:asciiTheme="majorHAnsi" w:hAnsiTheme="majorHAnsi"/>
          <w:b/>
          <w:bCs/>
        </w:rPr>
        <w:t>La</w:t>
      </w:r>
      <w:r w:rsidR="009F31E4" w:rsidRPr="009F31E4">
        <w:rPr>
          <w:rFonts w:asciiTheme="majorHAnsi" w:hAnsiTheme="majorHAnsi"/>
          <w:b/>
          <w:bCs/>
        </w:rPr>
        <w:t xml:space="preserve"> terz</w:t>
      </w:r>
      <w:r w:rsidRPr="00CF4B5C">
        <w:rPr>
          <w:rFonts w:asciiTheme="majorHAnsi" w:hAnsiTheme="majorHAnsi"/>
          <w:b/>
          <w:bCs/>
        </w:rPr>
        <w:t>a</w:t>
      </w:r>
      <w:r w:rsidR="009F31E4" w:rsidRPr="009F31E4">
        <w:rPr>
          <w:rFonts w:asciiTheme="majorHAnsi" w:hAnsiTheme="majorHAnsi"/>
          <w:b/>
          <w:bCs/>
        </w:rPr>
        <w:t xml:space="preserve"> </w:t>
      </w:r>
      <w:r w:rsidR="00E648BD" w:rsidRPr="00CF4B5C">
        <w:rPr>
          <w:rFonts w:asciiTheme="majorHAnsi" w:hAnsiTheme="majorHAnsi"/>
          <w:b/>
          <w:bCs/>
        </w:rPr>
        <w:t>proprietà</w:t>
      </w:r>
      <w:r w:rsidR="00CF4B5C">
        <w:rPr>
          <w:rFonts w:asciiTheme="majorHAnsi" w:hAnsiTheme="majorHAnsi"/>
        </w:rPr>
        <w:t xml:space="preserve"> da ricercare</w:t>
      </w:r>
      <w:r>
        <w:rPr>
          <w:rFonts w:asciiTheme="majorHAnsi" w:hAnsiTheme="majorHAnsi"/>
        </w:rPr>
        <w:t xml:space="preserve"> </w:t>
      </w:r>
      <w:r w:rsidR="009F31E4" w:rsidRPr="009F31E4">
        <w:rPr>
          <w:rFonts w:asciiTheme="majorHAnsi" w:hAnsiTheme="majorHAnsi"/>
        </w:rPr>
        <w:t xml:space="preserve">è </w:t>
      </w:r>
      <w:r w:rsidR="009F31E4" w:rsidRPr="009F31E4">
        <w:rPr>
          <w:rFonts w:asciiTheme="majorHAnsi" w:hAnsiTheme="majorHAnsi"/>
          <w:b/>
          <w:bCs/>
        </w:rPr>
        <w:t>l’analisi ex-post</w:t>
      </w:r>
      <w:r w:rsidR="009F31E4" w:rsidRPr="009F31E4">
        <w:rPr>
          <w:rFonts w:asciiTheme="majorHAnsi" w:hAnsiTheme="majorHAnsi"/>
        </w:rPr>
        <w:t>. I modelli verticali migliori non si limitano a generare output, ma sviluppano un’autocritica sistematica: raccolgono feedback, monitorano pattern di errore, apprendono strategie correttive senza compromettere le performance in tempo reale. È come avere un consulente che non solo produce una relazione, ma la rilegge con occhio critico per migliorarne la qualità nelle occasioni successive.</w:t>
      </w:r>
    </w:p>
    <w:p w14:paraId="496FFA06" w14:textId="77777777" w:rsidR="00700E47" w:rsidRDefault="009F31E4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9F31E4">
        <w:rPr>
          <w:rFonts w:asciiTheme="majorHAnsi" w:hAnsiTheme="majorHAnsi"/>
          <w:b/>
          <w:bCs/>
        </w:rPr>
        <w:t>Il quarto pilastro</w:t>
      </w:r>
      <w:r w:rsidRPr="009F31E4">
        <w:rPr>
          <w:rFonts w:asciiTheme="majorHAnsi" w:hAnsiTheme="majorHAnsi"/>
        </w:rPr>
        <w:t xml:space="preserve"> riguarda il </w:t>
      </w:r>
      <w:r w:rsidRPr="009F31E4">
        <w:rPr>
          <w:rFonts w:asciiTheme="majorHAnsi" w:hAnsiTheme="majorHAnsi"/>
          <w:b/>
          <w:bCs/>
        </w:rPr>
        <w:t>controllo normativo e giurisprudenziale</w:t>
      </w:r>
      <w:r w:rsidRPr="009F31E4">
        <w:rPr>
          <w:rFonts w:asciiTheme="majorHAnsi" w:hAnsiTheme="majorHAnsi"/>
        </w:rPr>
        <w:t>. Non basta interrogare un database di leggi: il modello deve comprendere l’evoluzione delle interpretazioni, i principi generali dell’ordinamento e le interazioni fra norme. La verifica deve avvenire sia sul merito delle conclusioni (ragionevolezza, proporzionalità) sia sulla legittimità formale (rispetto di procedure e vincoli sostanziali). In questo modo si garantisce che le risposte non solo siano tecnicamente corrette, ma anche utilizzabili in un contesto professionale reale, senza rischi di non conformità.</w:t>
      </w:r>
    </w:p>
    <w:p w14:paraId="0622D9CA" w14:textId="6B86F1D4" w:rsidR="00A07391" w:rsidRDefault="00700E47" w:rsidP="009F3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700E47">
        <w:rPr>
          <w:rFonts w:asciiTheme="majorHAnsi" w:hAnsiTheme="majorHAnsi"/>
        </w:rPr>
        <w:t xml:space="preserve">Oltre ai quattro criteri principali, </w:t>
      </w:r>
      <w:r w:rsidRPr="00A07391">
        <w:rPr>
          <w:rFonts w:asciiTheme="majorHAnsi" w:hAnsiTheme="majorHAnsi"/>
          <w:b/>
          <w:bCs/>
        </w:rPr>
        <w:t>la trasparenza del processo decisionale</w:t>
      </w:r>
      <w:r w:rsidRPr="00700E47">
        <w:rPr>
          <w:rFonts w:asciiTheme="majorHAnsi" w:hAnsiTheme="majorHAnsi"/>
        </w:rPr>
        <w:t xml:space="preserve"> e </w:t>
      </w:r>
      <w:r w:rsidRPr="00A07391">
        <w:rPr>
          <w:rFonts w:asciiTheme="majorHAnsi" w:hAnsiTheme="majorHAnsi"/>
          <w:b/>
          <w:bCs/>
        </w:rPr>
        <w:t>l’esperienza del fornitore</w:t>
      </w:r>
      <w:r w:rsidRPr="00700E47">
        <w:rPr>
          <w:rFonts w:asciiTheme="majorHAnsi" w:hAnsiTheme="majorHAnsi"/>
        </w:rPr>
        <w:t xml:space="preserve"> sono elementi fondamentali per una buona scelta. Sperimentazioni pratiche e valutazione della scalabilità sono indispensabili per analizzare punti di forza e limiti. La selezione di un LLM verticale richiede equilibrio tra affidabilità, apprendimento dal contesto e rispetto delle normative; solo un approccio rigoroso può trasformare questi strumenti in un vero vantaggio competitivo</w:t>
      </w:r>
      <w:r w:rsidR="006E7F4A">
        <w:rPr>
          <w:rFonts w:asciiTheme="majorHAnsi" w:hAnsiTheme="majorHAnsi"/>
        </w:rPr>
        <w:t>, altrimenti sarà solo l’ennesimo abbonamento che paghiamo mensilmente senza ricordarci il perché.</w:t>
      </w:r>
    </w:p>
    <w:sectPr w:rsidR="00A07391" w:rsidSect="00812E8E">
      <w:headerReference w:type="default" r:id="rId11"/>
      <w:footerReference w:type="default" r:id="rId12"/>
      <w:pgSz w:w="11906" w:h="16838"/>
      <w:pgMar w:top="1417" w:right="1134" w:bottom="1134" w:left="1134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A8C1D" w14:textId="77777777" w:rsidR="00751D90" w:rsidRDefault="00751D90" w:rsidP="00EC11C5">
      <w:pPr>
        <w:spacing w:after="0" w:line="240" w:lineRule="auto"/>
      </w:pPr>
      <w:r>
        <w:separator/>
      </w:r>
    </w:p>
  </w:endnote>
  <w:endnote w:type="continuationSeparator" w:id="0">
    <w:p w14:paraId="7D357928" w14:textId="77777777" w:rsidR="00751D90" w:rsidRDefault="00751D90" w:rsidP="00EC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165722"/>
      <w:docPartObj>
        <w:docPartGallery w:val="Page Numbers (Bottom of Page)"/>
        <w:docPartUnique/>
      </w:docPartObj>
    </w:sdtPr>
    <w:sdtEndPr/>
    <w:sdtContent>
      <w:p w14:paraId="5A607289" w14:textId="75CF1C22" w:rsidR="00D8030E" w:rsidRDefault="00D8030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B03CAA" w14:textId="0E5E7FFB" w:rsidR="00EC11C5" w:rsidRDefault="00EC11C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C2B4" w14:textId="77777777" w:rsidR="00751D90" w:rsidRDefault="00751D90" w:rsidP="00EC11C5">
      <w:pPr>
        <w:spacing w:after="0" w:line="240" w:lineRule="auto"/>
      </w:pPr>
      <w:r>
        <w:separator/>
      </w:r>
    </w:p>
  </w:footnote>
  <w:footnote w:type="continuationSeparator" w:id="0">
    <w:p w14:paraId="7069153A" w14:textId="77777777" w:rsidR="00751D90" w:rsidRDefault="00751D90" w:rsidP="00EC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8B2D" w14:textId="3368F0BD" w:rsidR="00812E8E" w:rsidRDefault="00812E8E" w:rsidP="00812E8E">
    <w:pPr>
      <w:pStyle w:val="Intestazione"/>
      <w:jc w:val="right"/>
      <w:rPr>
        <w:b/>
      </w:rPr>
    </w:pPr>
  </w:p>
  <w:p w14:paraId="7F729268" w14:textId="77777777" w:rsidR="00812E8E" w:rsidRDefault="00812E8E" w:rsidP="00812E8E">
    <w:pPr>
      <w:pStyle w:val="Intestazione"/>
      <w:jc w:val="center"/>
      <w:rPr>
        <w:b/>
      </w:rPr>
    </w:pPr>
  </w:p>
  <w:p w14:paraId="62CE220F" w14:textId="3D0B8ED0" w:rsidR="00EC11C5" w:rsidRPr="00812E8E" w:rsidRDefault="00812E8E" w:rsidP="00812E8E">
    <w:pPr>
      <w:pStyle w:val="Intestazione"/>
      <w:spacing w:line="360" w:lineRule="auto"/>
      <w:jc w:val="center"/>
      <w:rPr>
        <w:b/>
      </w:rPr>
    </w:pPr>
    <w:r w:rsidRPr="00F564CD">
      <w:rPr>
        <w:b/>
      </w:rPr>
      <w:t xml:space="preserve">MODULO COMPILAZIONE NOTIZIE </w:t>
    </w:r>
    <w:r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EEF"/>
    <w:multiLevelType w:val="multilevel"/>
    <w:tmpl w:val="201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EED"/>
    <w:multiLevelType w:val="multilevel"/>
    <w:tmpl w:val="7C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A5A6D"/>
    <w:multiLevelType w:val="multilevel"/>
    <w:tmpl w:val="C5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40468"/>
    <w:multiLevelType w:val="multilevel"/>
    <w:tmpl w:val="BC5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369">
    <w:abstractNumId w:val="3"/>
  </w:num>
  <w:num w:numId="2" w16cid:durableId="935017210">
    <w:abstractNumId w:val="1"/>
  </w:num>
  <w:num w:numId="3" w16cid:durableId="948044430">
    <w:abstractNumId w:val="2"/>
  </w:num>
  <w:num w:numId="4" w16cid:durableId="11452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C5"/>
    <w:rsid w:val="000008E2"/>
    <w:rsid w:val="000067FB"/>
    <w:rsid w:val="000341A4"/>
    <w:rsid w:val="000705D6"/>
    <w:rsid w:val="000A2CA1"/>
    <w:rsid w:val="000B2F70"/>
    <w:rsid w:val="000C5DDE"/>
    <w:rsid w:val="000D1E94"/>
    <w:rsid w:val="000E2F50"/>
    <w:rsid w:val="000F3588"/>
    <w:rsid w:val="00101BEF"/>
    <w:rsid w:val="001030C2"/>
    <w:rsid w:val="00112BC8"/>
    <w:rsid w:val="00115B57"/>
    <w:rsid w:val="0012341F"/>
    <w:rsid w:val="00132742"/>
    <w:rsid w:val="00165779"/>
    <w:rsid w:val="00171406"/>
    <w:rsid w:val="001B7659"/>
    <w:rsid w:val="001B7DF6"/>
    <w:rsid w:val="00216617"/>
    <w:rsid w:val="00235505"/>
    <w:rsid w:val="00273BF5"/>
    <w:rsid w:val="002838C5"/>
    <w:rsid w:val="00287908"/>
    <w:rsid w:val="002C2E05"/>
    <w:rsid w:val="002E1F4B"/>
    <w:rsid w:val="002F38E5"/>
    <w:rsid w:val="0034014C"/>
    <w:rsid w:val="00345B4E"/>
    <w:rsid w:val="0035099F"/>
    <w:rsid w:val="00355DD8"/>
    <w:rsid w:val="00356769"/>
    <w:rsid w:val="00375075"/>
    <w:rsid w:val="0039287C"/>
    <w:rsid w:val="003D2751"/>
    <w:rsid w:val="003E586C"/>
    <w:rsid w:val="003E7F80"/>
    <w:rsid w:val="003F6955"/>
    <w:rsid w:val="00415970"/>
    <w:rsid w:val="004665D0"/>
    <w:rsid w:val="00467765"/>
    <w:rsid w:val="0048254E"/>
    <w:rsid w:val="004B2FCF"/>
    <w:rsid w:val="004B694C"/>
    <w:rsid w:val="004C12B9"/>
    <w:rsid w:val="004C5BFB"/>
    <w:rsid w:val="004E65AF"/>
    <w:rsid w:val="00501644"/>
    <w:rsid w:val="00504B4D"/>
    <w:rsid w:val="00505D23"/>
    <w:rsid w:val="0052240C"/>
    <w:rsid w:val="00527606"/>
    <w:rsid w:val="00567C54"/>
    <w:rsid w:val="005703D9"/>
    <w:rsid w:val="00576D14"/>
    <w:rsid w:val="00591FC1"/>
    <w:rsid w:val="005A593E"/>
    <w:rsid w:val="005B2752"/>
    <w:rsid w:val="005C62C7"/>
    <w:rsid w:val="005E57C1"/>
    <w:rsid w:val="005F2644"/>
    <w:rsid w:val="005F6C77"/>
    <w:rsid w:val="00632BDD"/>
    <w:rsid w:val="006427B9"/>
    <w:rsid w:val="006450EB"/>
    <w:rsid w:val="00650FA1"/>
    <w:rsid w:val="00676C21"/>
    <w:rsid w:val="00683606"/>
    <w:rsid w:val="0069151E"/>
    <w:rsid w:val="00695266"/>
    <w:rsid w:val="006A09BC"/>
    <w:rsid w:val="006D7AF1"/>
    <w:rsid w:val="006E7F4A"/>
    <w:rsid w:val="006F455C"/>
    <w:rsid w:val="006F7919"/>
    <w:rsid w:val="00700E47"/>
    <w:rsid w:val="0071024D"/>
    <w:rsid w:val="0072788C"/>
    <w:rsid w:val="0073519B"/>
    <w:rsid w:val="00751D90"/>
    <w:rsid w:val="00772633"/>
    <w:rsid w:val="00776E7B"/>
    <w:rsid w:val="007A2B56"/>
    <w:rsid w:val="007A6C57"/>
    <w:rsid w:val="007B478A"/>
    <w:rsid w:val="007B6D5D"/>
    <w:rsid w:val="00800B46"/>
    <w:rsid w:val="0080286F"/>
    <w:rsid w:val="00812E8E"/>
    <w:rsid w:val="00853A48"/>
    <w:rsid w:val="00856DF5"/>
    <w:rsid w:val="00867880"/>
    <w:rsid w:val="008B28D5"/>
    <w:rsid w:val="008B74AA"/>
    <w:rsid w:val="008E2668"/>
    <w:rsid w:val="008E5755"/>
    <w:rsid w:val="008F15AF"/>
    <w:rsid w:val="009123D7"/>
    <w:rsid w:val="0092197D"/>
    <w:rsid w:val="00934CE6"/>
    <w:rsid w:val="00955CCA"/>
    <w:rsid w:val="00956073"/>
    <w:rsid w:val="00993514"/>
    <w:rsid w:val="009A1033"/>
    <w:rsid w:val="009B50CD"/>
    <w:rsid w:val="009B6B17"/>
    <w:rsid w:val="009F31E4"/>
    <w:rsid w:val="009F3C92"/>
    <w:rsid w:val="009F444B"/>
    <w:rsid w:val="00A07391"/>
    <w:rsid w:val="00A205AA"/>
    <w:rsid w:val="00A228E2"/>
    <w:rsid w:val="00A32EAC"/>
    <w:rsid w:val="00A411E6"/>
    <w:rsid w:val="00A515CE"/>
    <w:rsid w:val="00A723DE"/>
    <w:rsid w:val="00A81890"/>
    <w:rsid w:val="00AA43CE"/>
    <w:rsid w:val="00AB582C"/>
    <w:rsid w:val="00AB7E60"/>
    <w:rsid w:val="00AE0B67"/>
    <w:rsid w:val="00AE5587"/>
    <w:rsid w:val="00AE6E47"/>
    <w:rsid w:val="00AF5AB8"/>
    <w:rsid w:val="00B0385D"/>
    <w:rsid w:val="00B463FC"/>
    <w:rsid w:val="00B472A0"/>
    <w:rsid w:val="00B648B5"/>
    <w:rsid w:val="00B72DC3"/>
    <w:rsid w:val="00B81EB2"/>
    <w:rsid w:val="00B87561"/>
    <w:rsid w:val="00BB4BAA"/>
    <w:rsid w:val="00BB4E98"/>
    <w:rsid w:val="00BB6529"/>
    <w:rsid w:val="00BD2839"/>
    <w:rsid w:val="00BD3B9C"/>
    <w:rsid w:val="00BE1D3E"/>
    <w:rsid w:val="00C03301"/>
    <w:rsid w:val="00C553FA"/>
    <w:rsid w:val="00C67A7D"/>
    <w:rsid w:val="00C9022B"/>
    <w:rsid w:val="00CC7C7A"/>
    <w:rsid w:val="00CD2EED"/>
    <w:rsid w:val="00CD360C"/>
    <w:rsid w:val="00CF2D87"/>
    <w:rsid w:val="00CF4B5C"/>
    <w:rsid w:val="00D01C80"/>
    <w:rsid w:val="00D074F3"/>
    <w:rsid w:val="00D3207E"/>
    <w:rsid w:val="00D32CB7"/>
    <w:rsid w:val="00D41C94"/>
    <w:rsid w:val="00D61282"/>
    <w:rsid w:val="00D711E6"/>
    <w:rsid w:val="00D76E1A"/>
    <w:rsid w:val="00D8030E"/>
    <w:rsid w:val="00D824D1"/>
    <w:rsid w:val="00D84538"/>
    <w:rsid w:val="00D91437"/>
    <w:rsid w:val="00DA2D09"/>
    <w:rsid w:val="00DA4D4A"/>
    <w:rsid w:val="00DA7488"/>
    <w:rsid w:val="00DC659A"/>
    <w:rsid w:val="00E445D8"/>
    <w:rsid w:val="00E57D91"/>
    <w:rsid w:val="00E648BD"/>
    <w:rsid w:val="00E70E40"/>
    <w:rsid w:val="00EA43A9"/>
    <w:rsid w:val="00EB14CB"/>
    <w:rsid w:val="00EB1556"/>
    <w:rsid w:val="00EC11C5"/>
    <w:rsid w:val="00EC76BB"/>
    <w:rsid w:val="00EE2E83"/>
    <w:rsid w:val="00EE66E3"/>
    <w:rsid w:val="00EE79F7"/>
    <w:rsid w:val="00F11672"/>
    <w:rsid w:val="00F205BC"/>
    <w:rsid w:val="00F5459D"/>
    <w:rsid w:val="00F82A09"/>
    <w:rsid w:val="00F8508B"/>
    <w:rsid w:val="00F918A1"/>
    <w:rsid w:val="00FA0681"/>
    <w:rsid w:val="00FA187E"/>
    <w:rsid w:val="00FA33AC"/>
    <w:rsid w:val="00FA48BC"/>
    <w:rsid w:val="00FA6ECA"/>
    <w:rsid w:val="00FB62D2"/>
    <w:rsid w:val="00FC3837"/>
    <w:rsid w:val="00FE049F"/>
    <w:rsid w:val="00FE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CF62F"/>
  <w15:chartTrackingRefBased/>
  <w15:docId w15:val="{7BD4B45B-5ACE-4FED-97D3-FE27524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1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1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1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1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1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1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1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1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1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1C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11C5"/>
  </w:style>
  <w:style w:type="paragraph" w:styleId="Pidipagina">
    <w:name w:val="footer"/>
    <w:basedOn w:val="Normale"/>
    <w:link w:val="Pidipagina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11C5"/>
  </w:style>
  <w:style w:type="character" w:styleId="Collegamentoipertestuale">
    <w:name w:val="Hyperlink"/>
    <w:basedOn w:val="Carpredefinitoparagrafo"/>
    <w:uiPriority w:val="99"/>
    <w:unhideWhenUsed/>
    <w:rsid w:val="00EC11C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11C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A7488"/>
    <w:rPr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B463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icefonti">
    <w:name w:val="table of authorities"/>
    <w:basedOn w:val="Normale"/>
    <w:next w:val="Normale"/>
    <w:uiPriority w:val="99"/>
    <w:unhideWhenUsed/>
    <w:rsid w:val="00EC76BB"/>
    <w:pPr>
      <w:spacing w:after="0"/>
      <w:ind w:left="220" w:hanging="220"/>
    </w:pPr>
    <w:rPr>
      <w:sz w:val="20"/>
      <w:szCs w:val="20"/>
    </w:rPr>
  </w:style>
  <w:style w:type="paragraph" w:styleId="Titoloindicefonti">
    <w:name w:val="toa heading"/>
    <w:basedOn w:val="Normale"/>
    <w:next w:val="Normale"/>
    <w:uiPriority w:val="99"/>
    <w:unhideWhenUsed/>
    <w:rsid w:val="00EC76BB"/>
    <w:pPr>
      <w:spacing w:before="240" w:after="120"/>
    </w:pPr>
    <w:rPr>
      <w:rFonts w:cs="Arial"/>
      <w:b/>
      <w:bCs/>
      <w:caps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9F31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6402BA-875A-4B20-B0FF-2B72B26391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5F018-AF5F-4D50-83C5-647B6DCDFCD6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77a3f60d-3740-4b8f-aea2-18b203205ead"/>
    <ds:schemaRef ds:uri="6c014026-a0ef-45dc-9ca9-ac355db24e99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8F45E16-AB28-4C5F-99F9-C44175C7DE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D481E2-A6A4-4206-BF98-FD300FDCC8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25</cp:revision>
  <cp:lastPrinted>2025-08-04T14:01:00Z</cp:lastPrinted>
  <dcterms:created xsi:type="dcterms:W3CDTF">2025-09-02T08:13:00Z</dcterms:created>
  <dcterms:modified xsi:type="dcterms:W3CDTF">2025-09-02T09:08:00Z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