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CD65" w14:textId="77777777" w:rsidR="00515693" w:rsidRPr="00D01F7E" w:rsidRDefault="00515693" w:rsidP="00515693">
      <w:pPr>
        <w:spacing w:after="0" w:line="240" w:lineRule="auto"/>
        <w:contextualSpacing/>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67BCF62D" w14:textId="77777777" w:rsidR="00515693" w:rsidRPr="00515693" w:rsidRDefault="00515693" w:rsidP="00515693">
      <w:p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Theme="minorHAnsi" w:hAnsiTheme="majorHAnsi"/>
          <w:b/>
          <w:bCs/>
          <w:kern w:val="2"/>
          <w:lang w:val="it-IT"/>
          <w14:ligatures w14:val="standardContextual"/>
        </w:rPr>
      </w:pPr>
      <w:r w:rsidRPr="00515693">
        <w:rPr>
          <w:rFonts w:asciiTheme="majorHAnsi" w:eastAsiaTheme="minorHAnsi" w:hAnsiTheme="majorHAnsi"/>
          <w:b/>
          <w:bCs/>
          <w:kern w:val="2"/>
          <w:lang w:val="it-IT"/>
          <w14:ligatures w14:val="standardContextual"/>
        </w:rPr>
        <w:t>ASML investe in Mistral e rafforza l’AI UE</w:t>
      </w:r>
    </w:p>
    <w:p w14:paraId="26892F86" w14:textId="77777777" w:rsidR="00515693" w:rsidRDefault="00515693" w:rsidP="00515693">
      <w:pPr>
        <w:spacing w:after="0" w:line="240" w:lineRule="auto"/>
        <w:contextualSpacing/>
        <w:rPr>
          <w:rFonts w:ascii="Aptos Display" w:hAnsi="Aptos Display"/>
          <w:color w:val="0F4761" w:themeColor="accent1" w:themeShade="BF"/>
          <w:lang w:val="it-IT" w:eastAsia="it-IT"/>
        </w:rPr>
      </w:pPr>
    </w:p>
    <w:p w14:paraId="42C6C7E8" w14:textId="4AE3F70B" w:rsidR="00515693" w:rsidRDefault="00515693" w:rsidP="00515693">
      <w:pPr>
        <w:spacing w:after="0" w:line="240" w:lineRule="auto"/>
        <w:contextualSpacing/>
        <w:rPr>
          <w:rFonts w:ascii="Aptos Display" w:hAnsi="Aptos Display"/>
          <w:color w:val="0F4761" w:themeColor="accent1" w:themeShade="BF"/>
          <w:lang w:val="it-IT" w:eastAsia="it-IT"/>
        </w:rPr>
      </w:pPr>
      <w:r w:rsidRPr="00D01F7E">
        <w:rPr>
          <w:rFonts w:ascii="Aptos Display" w:hAnsi="Aptos Display"/>
          <w:color w:val="0F4761" w:themeColor="accent1" w:themeShade="BF"/>
          <w:lang w:val="it-IT" w:eastAsia="it-IT"/>
        </w:rPr>
        <w:t>Sottotitolo</w:t>
      </w:r>
    </w:p>
    <w:p w14:paraId="5EEFDE41" w14:textId="77777777" w:rsidR="00515693" w:rsidRPr="00D01F7E" w:rsidRDefault="00515693" w:rsidP="00515693">
      <w:pPr>
        <w:spacing w:after="0" w:line="240" w:lineRule="auto"/>
        <w:contextualSpacing/>
        <w:rPr>
          <w:rFonts w:ascii="Aptos Display" w:hAnsi="Aptos Display"/>
          <w:lang w:val="it-IT"/>
        </w:rPr>
      </w:pPr>
    </w:p>
    <w:p w14:paraId="51EC3FE1" w14:textId="77777777" w:rsidR="00AA5112" w:rsidRDefault="00AA5112" w:rsidP="00AA5112">
      <w:pPr>
        <w:pBdr>
          <w:top w:val="single" w:sz="4" w:space="1" w:color="auto"/>
          <w:left w:val="single" w:sz="4" w:space="4" w:color="auto"/>
          <w:bottom w:val="single" w:sz="4" w:space="1" w:color="auto"/>
          <w:right w:val="single" w:sz="4" w:space="4" w:color="auto"/>
        </w:pBdr>
        <w:spacing w:after="0" w:line="240" w:lineRule="auto"/>
        <w:contextualSpacing/>
        <w:rPr>
          <w:rFonts w:ascii="Aptos Display" w:hAnsi="Aptos Display"/>
          <w:lang w:val="it-IT"/>
        </w:rPr>
      </w:pPr>
      <w:r w:rsidRPr="00AA5112">
        <w:rPr>
          <w:rFonts w:ascii="Aptos Display" w:hAnsi="Aptos Display"/>
          <w:lang w:val="it-IT"/>
        </w:rPr>
        <w:t>ASML ha investito oltre 1,3 miliardi acquisendo l’11% di Mistral, startup francese di AI. Un passo strategico per rafforzare la sovranità tecnologica europea e ridurre la dipendenza da Stati Uniti e Cina.</w:t>
      </w:r>
    </w:p>
    <w:p w14:paraId="20DF3719" w14:textId="77777777" w:rsidR="00AA5112" w:rsidRDefault="00AA5112" w:rsidP="00515693">
      <w:pPr>
        <w:spacing w:after="0" w:line="240" w:lineRule="auto"/>
        <w:contextualSpacing/>
        <w:rPr>
          <w:rFonts w:ascii="Aptos Display" w:hAnsi="Aptos Display"/>
          <w:color w:val="0F4761" w:themeColor="accent1" w:themeShade="BF"/>
          <w:lang w:val="it-IT" w:eastAsia="it-IT"/>
        </w:rPr>
      </w:pPr>
    </w:p>
    <w:p w14:paraId="595093CE" w14:textId="6F5B6930" w:rsidR="00515693" w:rsidRPr="00D01F7E" w:rsidRDefault="00515693" w:rsidP="00515693">
      <w:pPr>
        <w:spacing w:after="0" w:line="240" w:lineRule="auto"/>
        <w:contextualSpacing/>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72EA888D"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Il settore dell’intelligenza artificiale europea ha segnato un punto di svolta con l’ingresso di ASML, colosso olandese dei semiconduttori, nel capitale di Mistral AI, promettente startup francese. Con oltre 1,3 miliardi di euro e l’11% del capitale, ASML ha scelto di sostenere direttamente una realtà che è già diventata simbolo delle ambizioni tecnologiche europee.</w:t>
      </w:r>
    </w:p>
    <w:p w14:paraId="2A857306"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 xml:space="preserve">ASML è leader mondiale delle macchine litografiche a ultravioletti estremi (EUV), indispensabili per i chip più avanzati. Mistral, invece, si è affermata come attore di primo piano nello sviluppo di modelli linguistici open-source, capaci di competere con OpenAI, </w:t>
      </w:r>
      <w:proofErr w:type="spellStart"/>
      <w:r w:rsidRPr="00AA5112">
        <w:rPr>
          <w:rFonts w:ascii="Aptos Display" w:hAnsi="Aptos Display"/>
          <w:lang w:val="it-IT"/>
        </w:rPr>
        <w:t>Anthropic</w:t>
      </w:r>
      <w:proofErr w:type="spellEnd"/>
      <w:r w:rsidRPr="00AA5112">
        <w:rPr>
          <w:rFonts w:ascii="Aptos Display" w:hAnsi="Aptos Display"/>
          <w:lang w:val="it-IT"/>
        </w:rPr>
        <w:t xml:space="preserve"> o Google </w:t>
      </w:r>
      <w:proofErr w:type="spellStart"/>
      <w:r w:rsidRPr="00AA5112">
        <w:rPr>
          <w:rFonts w:ascii="Aptos Display" w:hAnsi="Aptos Display"/>
          <w:lang w:val="it-IT"/>
        </w:rPr>
        <w:t>DeepMind</w:t>
      </w:r>
      <w:proofErr w:type="spellEnd"/>
      <w:r w:rsidRPr="00AA5112">
        <w:rPr>
          <w:rFonts w:ascii="Aptos Display" w:hAnsi="Aptos Display"/>
          <w:lang w:val="it-IT"/>
        </w:rPr>
        <w:t>. L’unione tra hardware e ricerca sull’AI generativa potrebbe generare una sinergia industriale inedita per l’Europa.</w:t>
      </w:r>
    </w:p>
    <w:p w14:paraId="5C9A72F0"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Il significato strategico è evidente: ridurre la dipendenza da Stati Uniti e Cina, che oggi dominano sia semiconduttori sia modelli di AI. L’Europa, con questa mossa, invia un segnale forte: vuole restare protagonista in un settore che definirà la competitività e la sicurezza dei prossimi decenni.</w:t>
      </w:r>
    </w:p>
    <w:p w14:paraId="2C383F26"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Le ricadute attese sono molteplici. Per Mistral significa poter crescere con risorse e infrastrutture adeguate, portando i suoi modelli a un uso commerciale diffuso. Per l’Unione Europea significa rafforzare la sovranità tecnologica, aumentando la capacità di controllare infrastrutture chiave. Sul fronte ricerca e sviluppo, l’integrazione di chip ottimizzati e architetture AI può ridurre costi e consumi energetici.</w:t>
      </w:r>
    </w:p>
    <w:p w14:paraId="04DB661B"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Restano però delle sfide. I finanziamenti europei restano inferiori a quelli americani e cinesi e la frammentazione normativa tra Stati membri può rallentare i progressi. Anche la governance dell’open-source richiede attenzione: Mistral ha costruito il suo successo sulla trasparenza e dovrà mantenere questo approccio nonostante l’ingresso di un grande partner industriale.</w:t>
      </w:r>
    </w:p>
    <w:p w14:paraId="6FE8D05B" w14:textId="77777777" w:rsidR="00AA5112"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Nonostante queste incognite, l’operazione ASML–Mistral è un atto di fiducia nel potenziale europeo. Se l’alleanza funzionerà, potrà creare un ecosistema integrato capace di competere globalmente, unendo semiconduttori e modelli linguistici al servizio di settori chiave come sanità, energia e manifattura.</w:t>
      </w:r>
    </w:p>
    <w:p w14:paraId="01B4AEC7" w14:textId="4014E4AF" w:rsidR="00171406" w:rsidRPr="00AA5112" w:rsidRDefault="00AA5112" w:rsidP="00AA5112">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A5112">
        <w:rPr>
          <w:rFonts w:ascii="Aptos Display" w:hAnsi="Aptos Display"/>
          <w:lang w:val="it-IT"/>
        </w:rPr>
        <w:t>In conclusione, l’investimento di ASML non è solo una mossa finanziaria, ma un passo verso una nuova architettura tecnologica europea. Una scommessa sull’integrazione tra chip e intelligenza artificiale che potrebbe diventare il modello di riferimento per la sovranità digitale del continente. Il successo dipenderà dalla capacità di trasformare l’innovazione in applicazioni concrete e accessibili. Per l’Europa è un banco di prova decisivo, che potrebbe segnare un cambio di passo storico.</w:t>
      </w:r>
    </w:p>
    <w:sectPr w:rsidR="00171406" w:rsidRPr="00AA5112" w:rsidSect="00515693">
      <w:headerReference w:type="default" r:id="rId4"/>
      <w:pgSz w:w="12240" w:h="15840"/>
      <w:pgMar w:top="1417" w:right="1134" w:bottom="1134" w:left="1134"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7983" w14:textId="77777777" w:rsidR="00515693" w:rsidRDefault="00515693" w:rsidP="00D01F7E">
    <w:pPr>
      <w:rPr>
        <w:rFonts w:ascii="Aptos Display" w:hAnsi="Aptos Display"/>
        <w:lang w:val="it-IT"/>
      </w:rPr>
    </w:pPr>
  </w:p>
  <w:p w14:paraId="317E8B1B" w14:textId="77777777" w:rsidR="00515693" w:rsidRPr="00D01F7E" w:rsidRDefault="00515693"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93"/>
    <w:rsid w:val="00171406"/>
    <w:rsid w:val="004146DA"/>
    <w:rsid w:val="00515693"/>
    <w:rsid w:val="005F2644"/>
    <w:rsid w:val="00AA5112"/>
    <w:rsid w:val="00AB582C"/>
    <w:rsid w:val="00BB4E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EECF"/>
  <w15:chartTrackingRefBased/>
  <w15:docId w15:val="{CB8F440E-0937-4E9A-B81E-0E077361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5693"/>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51569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51569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515693"/>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515693"/>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515693"/>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515693"/>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515693"/>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515693"/>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515693"/>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1569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1569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1569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1569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1569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1569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1569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1569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15693"/>
    <w:rPr>
      <w:rFonts w:eastAsiaTheme="majorEastAsia" w:cstheme="majorBidi"/>
      <w:color w:val="272727" w:themeColor="text1" w:themeTint="D8"/>
    </w:rPr>
  </w:style>
  <w:style w:type="paragraph" w:styleId="Titolo">
    <w:name w:val="Title"/>
    <w:basedOn w:val="Normale"/>
    <w:next w:val="Normale"/>
    <w:link w:val="TitoloCarattere"/>
    <w:uiPriority w:val="10"/>
    <w:qFormat/>
    <w:rsid w:val="00515693"/>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51569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15693"/>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51569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15693"/>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515693"/>
    <w:rPr>
      <w:i/>
      <w:iCs/>
      <w:color w:val="404040" w:themeColor="text1" w:themeTint="BF"/>
    </w:rPr>
  </w:style>
  <w:style w:type="paragraph" w:styleId="Paragrafoelenco">
    <w:name w:val="List Paragraph"/>
    <w:basedOn w:val="Normale"/>
    <w:uiPriority w:val="34"/>
    <w:qFormat/>
    <w:rsid w:val="00515693"/>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515693"/>
    <w:rPr>
      <w:i/>
      <w:iCs/>
      <w:color w:val="0F4761" w:themeColor="accent1" w:themeShade="BF"/>
    </w:rPr>
  </w:style>
  <w:style w:type="paragraph" w:styleId="Citazioneintensa">
    <w:name w:val="Intense Quote"/>
    <w:basedOn w:val="Normale"/>
    <w:next w:val="Normale"/>
    <w:link w:val="CitazioneintensaCarattere"/>
    <w:uiPriority w:val="30"/>
    <w:qFormat/>
    <w:rsid w:val="0051569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515693"/>
    <w:rPr>
      <w:i/>
      <w:iCs/>
      <w:color w:val="0F4761" w:themeColor="accent1" w:themeShade="BF"/>
    </w:rPr>
  </w:style>
  <w:style w:type="character" w:styleId="Riferimentointenso">
    <w:name w:val="Intense Reference"/>
    <w:basedOn w:val="Carpredefinitoparagrafo"/>
    <w:uiPriority w:val="32"/>
    <w:qFormat/>
    <w:rsid w:val="00515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BABEAE-96B3-45E0-BA25-9B28FC097D12}"/>
</file>

<file path=customXml/itemProps2.xml><?xml version="1.0" encoding="utf-8"?>
<ds:datastoreItem xmlns:ds="http://schemas.openxmlformats.org/officeDocument/2006/customXml" ds:itemID="{D1F7337E-BE41-49C9-98B2-5C4BD8167D78}"/>
</file>

<file path=customXml/itemProps3.xml><?xml version="1.0" encoding="utf-8"?>
<ds:datastoreItem xmlns:ds="http://schemas.openxmlformats.org/officeDocument/2006/customXml" ds:itemID="{1EF35BA2-CD48-4484-AA9F-214BC9172A80}"/>
</file>

<file path=docProps/app.xml><?xml version="1.0" encoding="utf-8"?>
<Properties xmlns="http://schemas.openxmlformats.org/officeDocument/2006/extended-properties" xmlns:vt="http://schemas.openxmlformats.org/officeDocument/2006/docPropsVTypes">
  <Template>Normal</Template>
  <TotalTime>39</TotalTime>
  <Pages>1</Pages>
  <Words>441</Words>
  <Characters>2517</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1</cp:revision>
  <dcterms:created xsi:type="dcterms:W3CDTF">2025-09-12T11:31:00Z</dcterms:created>
  <dcterms:modified xsi:type="dcterms:W3CDTF">2025-09-12T13:26:00Z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4" name="docLang">
    <vt:lpwstr>it</vt:lpwstr>
  </property>
  <property fmtid="{D5CDD505-2E9C-101B-9397-08002B2CF9AE}" pid="5" name="MediaServiceImageTags">
    <vt:lpwstr/>
  </property>
</Properties>
</file>