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9E57" w14:textId="77777777" w:rsidR="00596239" w:rsidRPr="00D01F7E" w:rsidRDefault="00596239" w:rsidP="007E7984">
      <w:pPr>
        <w:spacing w:after="0" w:line="240" w:lineRule="auto"/>
        <w:contextualSpacing/>
        <w:jc w:val="both"/>
        <w:rPr>
          <w:rFonts w:ascii="Aptos Display" w:hAnsi="Aptos Display"/>
          <w:noProof/>
          <w:lang w:val="it-IT"/>
        </w:rPr>
      </w:pPr>
      <w:r w:rsidRPr="00D01F7E">
        <w:rPr>
          <w:rFonts w:ascii="Aptos Display" w:hAnsi="Aptos Display"/>
          <w:noProof/>
          <w:lang w:val="it-IT"/>
        </w:rPr>
        <w:br/>
      </w:r>
      <w:r w:rsidRPr="00D01F7E">
        <w:rPr>
          <w:rFonts w:ascii="Aptos Display" w:hAnsi="Aptos Display"/>
          <w:noProof/>
          <w:color w:val="0F4761" w:themeColor="accent1" w:themeShade="BF"/>
          <w:lang w:val="it-IT" w:eastAsia="it-IT"/>
        </w:rPr>
        <w:t>Titolo</w:t>
      </w:r>
      <w:r w:rsidRPr="00D01F7E">
        <w:rPr>
          <w:rFonts w:ascii="Aptos Display" w:hAnsi="Aptos Display"/>
          <w:noProof/>
          <w:lang w:val="it-IT"/>
        </w:rPr>
        <w:br/>
      </w:r>
    </w:p>
    <w:p w14:paraId="02781A8B" w14:textId="3CCFB579" w:rsidR="00596239" w:rsidRPr="00B74AFC" w:rsidRDefault="007E7984" w:rsidP="007E7984">
      <w:pPr>
        <w:spacing w:after="0" w:line="240" w:lineRule="auto"/>
        <w:contextualSpacing/>
        <w:jc w:val="both"/>
        <w:rPr>
          <w:rFonts w:asciiTheme="majorHAnsi" w:eastAsiaTheme="minorHAnsi" w:hAnsiTheme="majorHAnsi"/>
          <w:b/>
          <w:bCs/>
          <w:noProof/>
          <w:kern w:val="2"/>
          <w:bdr w:val="single" w:sz="4" w:space="0" w:color="auto"/>
          <w:lang w:val="it-IT"/>
          <w14:ligatures w14:val="standardContextual"/>
        </w:rPr>
      </w:pPr>
      <w:r w:rsidRPr="007E7984">
        <w:rPr>
          <w:noProof/>
          <w:lang w:val="it-IT"/>
        </w:rPr>
        <w:t xml:space="preserve"> </w:t>
      </w:r>
      <w:r w:rsidR="004B0996">
        <w:rPr>
          <w:rFonts w:asciiTheme="majorHAnsi" w:eastAsiaTheme="minorHAnsi" w:hAnsiTheme="majorHAnsi"/>
          <w:b/>
          <w:bCs/>
          <w:noProof/>
          <w:kern w:val="2"/>
          <w:bdr w:val="single" w:sz="4" w:space="0" w:color="auto"/>
          <w:lang w:val="it-IT"/>
          <w14:ligatures w14:val="standardContextual"/>
        </w:rPr>
        <w:t>I software g</w:t>
      </w:r>
      <w:r w:rsidR="00B74AFC" w:rsidRPr="00B74AFC">
        <w:rPr>
          <w:rFonts w:asciiTheme="majorHAnsi" w:eastAsiaTheme="minorHAnsi" w:hAnsiTheme="majorHAnsi"/>
          <w:b/>
          <w:bCs/>
          <w:noProof/>
          <w:kern w:val="2"/>
          <w:bdr w:val="single" w:sz="4" w:space="0" w:color="auto"/>
          <w:lang w:val="it-IT"/>
          <w14:ligatures w14:val="standardContextual"/>
        </w:rPr>
        <w:t xml:space="preserve">estionali europei </w:t>
      </w:r>
      <w:r w:rsidR="004B0996">
        <w:rPr>
          <w:rFonts w:asciiTheme="majorHAnsi" w:eastAsiaTheme="minorHAnsi" w:hAnsiTheme="majorHAnsi"/>
          <w:b/>
          <w:bCs/>
          <w:noProof/>
          <w:kern w:val="2"/>
          <w:bdr w:val="single" w:sz="4" w:space="0" w:color="auto"/>
          <w:lang w:val="it-IT"/>
          <w14:ligatures w14:val="standardContextual"/>
        </w:rPr>
        <w:t>sposano l’AI</w:t>
      </w:r>
    </w:p>
    <w:p w14:paraId="549EFD0B" w14:textId="77777777" w:rsidR="00596239" w:rsidRDefault="00596239" w:rsidP="007E7984">
      <w:pPr>
        <w:spacing w:after="0" w:line="240" w:lineRule="auto"/>
        <w:contextualSpacing/>
        <w:jc w:val="both"/>
        <w:rPr>
          <w:rFonts w:ascii="Aptos Display" w:hAnsi="Aptos Display"/>
          <w:noProof/>
          <w:color w:val="0F4761" w:themeColor="accent1" w:themeShade="BF"/>
          <w:lang w:val="it-IT" w:eastAsia="it-IT"/>
        </w:rPr>
      </w:pPr>
    </w:p>
    <w:p w14:paraId="725E71D3" w14:textId="77777777" w:rsidR="00596239" w:rsidRDefault="00596239" w:rsidP="007E7984">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Sottotitolo</w:t>
      </w:r>
    </w:p>
    <w:p w14:paraId="2D1172BF" w14:textId="77777777" w:rsidR="007E7984" w:rsidRDefault="007E7984" w:rsidP="007E7984">
      <w:pPr>
        <w:spacing w:after="0" w:line="240" w:lineRule="auto"/>
        <w:contextualSpacing/>
        <w:jc w:val="both"/>
        <w:rPr>
          <w:rFonts w:ascii="Aptos Display" w:hAnsi="Aptos Display"/>
          <w:noProof/>
          <w:color w:val="0F4761" w:themeColor="accent1" w:themeShade="BF"/>
          <w:lang w:val="it-IT" w:eastAsia="it-IT"/>
        </w:rPr>
      </w:pPr>
    </w:p>
    <w:p w14:paraId="193F0D05" w14:textId="6C01CC27" w:rsidR="007E7984" w:rsidRPr="004B0996" w:rsidRDefault="00B74AFC" w:rsidP="00B74AFC">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noProof/>
          <w:lang w:val="it-IT"/>
        </w:rPr>
      </w:pPr>
      <w:r w:rsidRPr="00B74AFC">
        <w:rPr>
          <w:rFonts w:ascii="Aptos Display" w:hAnsi="Aptos Display"/>
          <w:noProof/>
          <w:lang w:val="it-IT"/>
        </w:rPr>
        <w:t xml:space="preserve">Visma e Xero rafforzano il proprio ruolo nei gestionali: il primo con l’acquisizione di Alavie per la compliance italiana, il secondo con nuovi workpapers integrati. </w:t>
      </w:r>
      <w:r w:rsidRPr="004B0996">
        <w:rPr>
          <w:rFonts w:ascii="Aptos Display" w:hAnsi="Aptos Display"/>
          <w:noProof/>
          <w:lang w:val="it-IT"/>
        </w:rPr>
        <w:t>Una strategia che punta a supportare imprese e professionisti.</w:t>
      </w:r>
    </w:p>
    <w:p w14:paraId="203BE020" w14:textId="77777777" w:rsidR="00B74AFC" w:rsidRDefault="00B74AFC" w:rsidP="007E7984">
      <w:pPr>
        <w:spacing w:after="0" w:line="240" w:lineRule="auto"/>
        <w:contextualSpacing/>
        <w:jc w:val="both"/>
        <w:rPr>
          <w:rFonts w:ascii="Aptos Display" w:hAnsi="Aptos Display"/>
          <w:noProof/>
          <w:color w:val="0F4761" w:themeColor="accent1" w:themeShade="BF"/>
          <w:lang w:val="it-IT" w:eastAsia="it-IT"/>
        </w:rPr>
      </w:pPr>
    </w:p>
    <w:p w14:paraId="0F858BD5" w14:textId="4DC4FD87" w:rsidR="00596239" w:rsidRDefault="00596239" w:rsidP="007E7984">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Approfondimento</w:t>
      </w:r>
    </w:p>
    <w:p w14:paraId="02E74B3D" w14:textId="77777777" w:rsidR="007E7984" w:rsidRPr="00D01F7E" w:rsidRDefault="007E7984" w:rsidP="007E7984">
      <w:pPr>
        <w:spacing w:after="0" w:line="240" w:lineRule="auto"/>
        <w:contextualSpacing/>
        <w:jc w:val="both"/>
        <w:rPr>
          <w:rFonts w:ascii="Aptos Display" w:hAnsi="Aptos Display"/>
          <w:noProof/>
          <w:lang w:val="it-IT"/>
        </w:rPr>
      </w:pPr>
    </w:p>
    <w:p w14:paraId="7D813C0A" w14:textId="77777777" w:rsidR="00B74AFC" w:rsidRPr="00B74AFC" w:rsidRDefault="00B74AFC" w:rsidP="00B74AF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74AFC">
        <w:rPr>
          <w:rFonts w:ascii="Aptos Display" w:hAnsi="Aptos Display"/>
          <w:noProof/>
          <w:lang w:val="it-IT"/>
        </w:rPr>
        <w:t>Il mercato europeo del software gestionale sta vivendo una fase di trasformazione rapida, con due player in particolare pronti a rafforzare la propria posizione: Visma e Xero. Entrambi puntano a offrire soluzioni più complete a imprese e professionisti, combinando compliance normativa e strumenti di automazione che semplificano il lavoro quotidiano.</w:t>
      </w:r>
    </w:p>
    <w:p w14:paraId="61E934E8" w14:textId="77777777" w:rsidR="00B74AFC" w:rsidRPr="00B74AFC" w:rsidRDefault="00B74AFC" w:rsidP="00B74AF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74AFC">
        <w:rPr>
          <w:rFonts w:ascii="Aptos Display" w:hAnsi="Aptos Display"/>
          <w:noProof/>
          <w:lang w:val="it-IT"/>
        </w:rPr>
        <w:t>Visma, multinazionale norvegese già presente in Italia, ha acquisito Alavie, società specializzata in consulenza su antiriciclaggio, privacy e 231. L’operazione segna un passo decisivo: l’obiettivo è integrare competenze verticali in materia di compliance direttamente nelle piattaforme digitali, così da offrire a studi professionali e imprese un pacchetto che unisce tecnologia e consulenza normativa. La scelta non è casuale: l’Italia è uno dei mercati più complessi sul fronte degli adempimenti e le aziende necessitano di strumenti che riducano il rischio di errori e sanzioni.</w:t>
      </w:r>
    </w:p>
    <w:p w14:paraId="4A9F8A10" w14:textId="77777777" w:rsidR="00B74AFC" w:rsidRPr="00B74AFC" w:rsidRDefault="00B74AFC" w:rsidP="00B74AF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74AFC">
        <w:rPr>
          <w:rFonts w:ascii="Aptos Display" w:hAnsi="Aptos Display"/>
          <w:noProof/>
          <w:lang w:val="it-IT"/>
        </w:rPr>
        <w:t>Sul fronte opposto, Xero continua la sua espansione in Europa con un approccio orientato all’efficienza operativa. La novità riguarda l’introduzione di workpapers digitali aggiornati, sviluppati in collaborazione con BGL. Questi strumenti permettono di predisporre in modo più rapido e integrato i dossier di revisione e rendicontazione, riducendo il lavoro manuale e limitando la possibilità di errori. Per gli studi contabili, l’impatto è evidente: i processi diventano più fluidi, la documentazione è sempre allineata e il controllo qualità più immediato.</w:t>
      </w:r>
    </w:p>
    <w:p w14:paraId="65806339" w14:textId="77777777" w:rsidR="00B74AFC" w:rsidRPr="00B74AFC" w:rsidRDefault="00B74AFC" w:rsidP="00B74AF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74AFC">
        <w:rPr>
          <w:rFonts w:ascii="Aptos Display" w:hAnsi="Aptos Display"/>
          <w:noProof/>
          <w:lang w:val="it-IT"/>
        </w:rPr>
        <w:t>Ciò che accomuna Visma e Xero è la volontà di posizionarsi come partner strategici per i professionisti. Non si tratta più soltanto di software di gestione, ma di piattaforme che inglobano regole, best practice e procedure pronte per l’uso, riducendo al minimo la distanza tra adempimenti normativi e strumenti operativi.</w:t>
      </w:r>
    </w:p>
    <w:p w14:paraId="096B72A1" w14:textId="77777777" w:rsidR="00B74AFC" w:rsidRPr="00B74AFC" w:rsidRDefault="00B74AFC" w:rsidP="00B74AF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74AFC">
        <w:rPr>
          <w:rFonts w:ascii="Aptos Display" w:hAnsi="Aptos Display"/>
          <w:noProof/>
          <w:lang w:val="it-IT"/>
        </w:rPr>
        <w:t>Per imprese e consulenti, questo scenario porta benefici ma anche sfide. L’automazione aumenta la precisione e riduce i tempi, ma richiede un ripensamento delle competenze: non basta più saper utilizzare il gestionale, serve comprendere le logiche di controllo e gli standard che esso incorpora. Al tempo stesso, i professionisti possono cogliere nuove opportunità, affiancando i clienti non solo sul piano contabile ma anche su quello della governance e della gestione dei rischi.</w:t>
      </w:r>
    </w:p>
    <w:p w14:paraId="74FD37F4" w14:textId="6B472830" w:rsidR="00171406" w:rsidRPr="00B74AFC" w:rsidRDefault="00B74AFC" w:rsidP="00B74AFC">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B74AFC">
        <w:rPr>
          <w:rFonts w:ascii="Aptos Display" w:hAnsi="Aptos Display"/>
          <w:noProof/>
          <w:lang w:val="it-IT"/>
        </w:rPr>
        <w:t>In definitiva, l’Europa si muove con pragmatismo. Mentre i colossi globali puntano soprattutto sull’AI generativa, player come Visma e Xero scelgono di rafforzare il legame con i professionisti, con strumenti mirati a semplificare adempimenti e processi. Una strada che, nel lungo periodo, potrebbe rivelarsi vincente: perché la tecnologia, per essere utile, deve saper parlare il linguaggio della normativa e del lavoro quotidiano. Il futuro dei gestionali europei dipenderà dalla capacità di coniugare innovazione e concretezza operativa.</w:t>
      </w:r>
    </w:p>
    <w:sectPr w:rsidR="00171406" w:rsidRPr="00B74AFC" w:rsidSect="00596239">
      <w:headerReference w:type="default" r:id="rId9"/>
      <w:pgSz w:w="12240" w:h="15840"/>
      <w:pgMar w:top="1417" w:right="1134" w:bottom="1134" w:left="1134"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66C9D" w14:textId="77777777" w:rsidR="00201F48" w:rsidRDefault="00201F48">
      <w:pPr>
        <w:spacing w:after="0" w:line="240" w:lineRule="auto"/>
      </w:pPr>
      <w:r>
        <w:separator/>
      </w:r>
    </w:p>
  </w:endnote>
  <w:endnote w:type="continuationSeparator" w:id="0">
    <w:p w14:paraId="2F30D608" w14:textId="77777777" w:rsidR="00201F48" w:rsidRDefault="00201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F1D10" w14:textId="77777777" w:rsidR="00201F48" w:rsidRDefault="00201F48">
      <w:pPr>
        <w:spacing w:after="0" w:line="240" w:lineRule="auto"/>
      </w:pPr>
      <w:r>
        <w:separator/>
      </w:r>
    </w:p>
  </w:footnote>
  <w:footnote w:type="continuationSeparator" w:id="0">
    <w:p w14:paraId="2CADCBFB" w14:textId="77777777" w:rsidR="00201F48" w:rsidRDefault="00201F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EFD6" w14:textId="77777777" w:rsidR="00596239" w:rsidRDefault="00596239" w:rsidP="00D01F7E">
    <w:pPr>
      <w:rPr>
        <w:rFonts w:ascii="Aptos Display" w:hAnsi="Aptos Display"/>
        <w:lang w:val="it-IT"/>
      </w:rPr>
    </w:pPr>
  </w:p>
  <w:p w14:paraId="2C8D9BD1" w14:textId="77777777" w:rsidR="00596239" w:rsidRPr="00D01F7E" w:rsidRDefault="00596239"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39"/>
    <w:rsid w:val="000A434F"/>
    <w:rsid w:val="00171406"/>
    <w:rsid w:val="00201F48"/>
    <w:rsid w:val="004B0996"/>
    <w:rsid w:val="00556F52"/>
    <w:rsid w:val="00596239"/>
    <w:rsid w:val="005F2644"/>
    <w:rsid w:val="007E7984"/>
    <w:rsid w:val="008B6339"/>
    <w:rsid w:val="00AB582C"/>
    <w:rsid w:val="00B74AFC"/>
    <w:rsid w:val="00BB4E98"/>
    <w:rsid w:val="00E406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82D9E"/>
  <w15:chartTrackingRefBased/>
  <w15:docId w15:val="{73A2DB6E-32D9-4123-9084-CA981E54C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96239"/>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596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96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9623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9623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9623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9623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9623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9623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9623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9623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9623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9623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9623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9623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9623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9623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9623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96239"/>
    <w:rPr>
      <w:rFonts w:eastAsiaTheme="majorEastAsia" w:cstheme="majorBidi"/>
      <w:color w:val="272727" w:themeColor="text1" w:themeTint="D8"/>
    </w:rPr>
  </w:style>
  <w:style w:type="paragraph" w:styleId="Titolo">
    <w:name w:val="Title"/>
    <w:basedOn w:val="Normale"/>
    <w:next w:val="Normale"/>
    <w:link w:val="TitoloCarattere"/>
    <w:uiPriority w:val="10"/>
    <w:qFormat/>
    <w:rsid w:val="00596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9623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9623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9623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9623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96239"/>
    <w:rPr>
      <w:i/>
      <w:iCs/>
      <w:color w:val="404040" w:themeColor="text1" w:themeTint="BF"/>
    </w:rPr>
  </w:style>
  <w:style w:type="paragraph" w:styleId="Paragrafoelenco">
    <w:name w:val="List Paragraph"/>
    <w:basedOn w:val="Normale"/>
    <w:uiPriority w:val="34"/>
    <w:qFormat/>
    <w:rsid w:val="00596239"/>
    <w:pPr>
      <w:ind w:left="720"/>
      <w:contextualSpacing/>
    </w:pPr>
  </w:style>
  <w:style w:type="character" w:styleId="Enfasiintensa">
    <w:name w:val="Intense Emphasis"/>
    <w:basedOn w:val="Carpredefinitoparagrafo"/>
    <w:uiPriority w:val="21"/>
    <w:qFormat/>
    <w:rsid w:val="00596239"/>
    <w:rPr>
      <w:i/>
      <w:iCs/>
      <w:color w:val="0F4761" w:themeColor="accent1" w:themeShade="BF"/>
    </w:rPr>
  </w:style>
  <w:style w:type="paragraph" w:styleId="Citazioneintensa">
    <w:name w:val="Intense Quote"/>
    <w:basedOn w:val="Normale"/>
    <w:next w:val="Normale"/>
    <w:link w:val="CitazioneintensaCarattere"/>
    <w:uiPriority w:val="30"/>
    <w:qFormat/>
    <w:rsid w:val="00596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96239"/>
    <w:rPr>
      <w:i/>
      <w:iCs/>
      <w:color w:val="0F4761" w:themeColor="accent1" w:themeShade="BF"/>
    </w:rPr>
  </w:style>
  <w:style w:type="character" w:styleId="Riferimentointenso">
    <w:name w:val="Intense Reference"/>
    <w:basedOn w:val="Carpredefinitoparagrafo"/>
    <w:uiPriority w:val="32"/>
    <w:qFormat/>
    <w:rsid w:val="00596239"/>
    <w:rPr>
      <w:b/>
      <w:bCs/>
      <w:smallCaps/>
      <w:color w:val="0F4761" w:themeColor="accent1" w:themeShade="BF"/>
      <w:spacing w:val="5"/>
    </w:rPr>
  </w:style>
  <w:style w:type="paragraph" w:styleId="NormaleWeb">
    <w:name w:val="Normal (Web)"/>
    <w:basedOn w:val="Normale"/>
    <w:uiPriority w:val="99"/>
    <w:semiHidden/>
    <w:unhideWhenUsed/>
    <w:rsid w:val="00B74A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ADD9ED-B90F-4781-AD84-83A8E2FF2841}"/>
</file>

<file path=customXml/itemProps2.xml><?xml version="1.0" encoding="utf-8"?>
<ds:datastoreItem xmlns:ds="http://schemas.openxmlformats.org/officeDocument/2006/customXml" ds:itemID="{BBBCAF2C-3A04-4333-8D77-04A90CE96C70}">
  <ds:schemaRefs>
    <ds:schemaRef ds:uri="http://schemas.microsoft.com/sharepoint/v3/contenttype/forms"/>
  </ds:schemaRefs>
</ds:datastoreItem>
</file>

<file path=customXml/itemProps3.xml><?xml version="1.0" encoding="utf-8"?>
<ds:datastoreItem xmlns:ds="http://schemas.openxmlformats.org/officeDocument/2006/customXml" ds:itemID="{A91A27DD-0EA4-4BB2-A797-03DD4FA8BEEE}">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470</Words>
  <Characters>2683</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3</cp:revision>
  <dcterms:created xsi:type="dcterms:W3CDTF">2025-09-26T10:48:00Z</dcterms:created>
  <dcterms:modified xsi:type="dcterms:W3CDTF">2025-10-04T08:25:00Z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docLang">
    <vt:lpwstr>it</vt:lpwstr>
  </property>
  <property fmtid="{D5CDD505-2E9C-101B-9397-08002B2CF9AE}" pid="4" name="MediaServiceImageTags">
    <vt:lpwstr/>
  </property>
</Properties>
</file>