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0" w:name="content"/>
    <w:bookmarkStart w:id="39" w:name="X330f49e633620c58eba699dc122af2677bb17aa"/>
    <w:p>
      <w:pPr>
        <w:pStyle w:val="Heading1"/>
      </w:pPr>
      <w:r>
        <w:t xml:space="preserve">Modelli di Altman Z-Score e varianti per l’Italia</w:t>
      </w:r>
    </w:p>
    <w:bookmarkStart w:id="2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Lo</w:t>
      </w:r>
      <w:r>
        <w:t xml:space="preserve"> </w:t>
      </w:r>
      <w:r>
        <w:rPr>
          <w:b/>
          <w:bCs/>
        </w:rPr>
        <w:t xml:space="preserve">Z-Score</w:t>
      </w:r>
      <w:r>
        <w:t xml:space="preserve"> </w:t>
      </w:r>
      <w:r>
        <w:t xml:space="preserve">nasce come funzione discriminante lineare per distinguere imprese “in bonis” e imprese prossime all’insolvenza usando poche variabili di bilancio (liquidità, redditività cumulata, redditività operativa, leva/solvibilità e rotazione dell’attivo). La versione “classica” (1968) è costruita su</w:t>
      </w:r>
      <w:r>
        <w:t xml:space="preserve"> </w:t>
      </w:r>
      <w:r>
        <w:rPr>
          <w:b/>
          <w:bCs/>
        </w:rPr>
        <w:t xml:space="preserve">imprese manifatturiere quotate</w:t>
      </w:r>
      <w:r>
        <w:t xml:space="preserve"> </w:t>
      </w:r>
      <w:r>
        <w:t xml:space="preserve">e incorpora un indicatore di</w:t>
      </w:r>
      <w:r>
        <w:t xml:space="preserve"> </w:t>
      </w:r>
      <w:r>
        <w:rPr>
          <w:b/>
          <w:bCs/>
        </w:rPr>
        <w:t xml:space="preserve">mercato</w:t>
      </w:r>
      <w:r>
        <w:t xml:space="preserve"> </w:t>
      </w:r>
      <w:r>
        <w:t xml:space="preserve">(valore di mercato del capitale proprio), quindi non è direttamente applicabile alle non quotate senza adattamenti strutturali.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Nel corpus ufficiale ricostruibile con fonti verificabili emergono quattro “pilastri” della famiglia Z-score: (i)</w:t>
      </w:r>
      <w:r>
        <w:t xml:space="preserve"> </w:t>
      </w:r>
      <w:r>
        <w:rPr>
          <w:b/>
          <w:bCs/>
        </w:rPr>
        <w:t xml:space="preserve">Z-Score (1968)</w:t>
      </w:r>
      <w:r>
        <w:t xml:space="preserve"> </w:t>
      </w:r>
      <w:r>
        <w:t xml:space="preserve">per manifatturiere quotate; (ii)</w:t>
      </w:r>
      <w:r>
        <w:t xml:space="preserve"> </w:t>
      </w:r>
      <w:r>
        <w:rPr>
          <w:b/>
          <w:bCs/>
        </w:rPr>
        <w:t xml:space="preserve">Z’-Score (1983)</w:t>
      </w:r>
      <w:r>
        <w:t xml:space="preserve"> </w:t>
      </w:r>
      <w:r>
        <w:t xml:space="preserve">come ricalibrazione per manifatturiere</w:t>
      </w:r>
      <w:r>
        <w:t xml:space="preserve"> </w:t>
      </w:r>
      <w:r>
        <w:rPr>
          <w:b/>
          <w:bCs/>
        </w:rPr>
        <w:t xml:space="preserve">non quotate</w:t>
      </w:r>
      <w:r>
        <w:t xml:space="preserve"> </w:t>
      </w:r>
      <w:r>
        <w:t xml:space="preserve">sostituendo la variabile di mercato con una variabile contabile; (iii)</w:t>
      </w:r>
      <w:r>
        <w:t xml:space="preserve"> </w:t>
      </w:r>
      <w:r>
        <w:rPr>
          <w:b/>
          <w:bCs/>
        </w:rPr>
        <w:t xml:space="preserve">Z’’-Score (1995)</w:t>
      </w:r>
      <w:r>
        <w:t xml:space="preserve"> </w:t>
      </w:r>
      <w:r>
        <w:t xml:space="preserve">per</w:t>
      </w:r>
      <w:r>
        <w:t xml:space="preserve"> </w:t>
      </w:r>
      <w:r>
        <w:rPr>
          <w:b/>
          <w:bCs/>
        </w:rPr>
        <w:t xml:space="preserve">non manifatturiere</w:t>
      </w:r>
      <w:r>
        <w:t xml:space="preserve"> </w:t>
      </w:r>
      <w:r>
        <w:t xml:space="preserve">e applicazioni internazionali, eliminando la rotazione (Sales/Total Assets) per ridurre il bias settoriale e cambiando i pesi; (iv)</w:t>
      </w:r>
      <w:r>
        <w:t xml:space="preserve"> </w:t>
      </w:r>
      <w:r>
        <w:rPr>
          <w:b/>
          <w:bCs/>
        </w:rPr>
        <w:t xml:space="preserve">EM-Score</w:t>
      </w:r>
      <w:r>
        <w:t xml:space="preserve"> </w:t>
      </w:r>
      <w:r>
        <w:t xml:space="preserve">(modello “emerging markets”) che introduce un</w:t>
      </w:r>
      <w:r>
        <w:t xml:space="preserve"> </w:t>
      </w:r>
      <w:r>
        <w:rPr>
          <w:b/>
          <w:bCs/>
        </w:rPr>
        <w:t xml:space="preserve">termine costante +3,25</w:t>
      </w:r>
      <w:r>
        <w:t xml:space="preserve"> </w:t>
      </w:r>
      <w:r>
        <w:t xml:space="preserve">per rendere confrontabili i punteggi con una scala tipo-rating (D = 0).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Per l’Italia, le varianti più rilevanti (perché</w:t>
      </w:r>
      <w:r>
        <w:t xml:space="preserve"> </w:t>
      </w:r>
      <w:r>
        <w:rPr>
          <w:b/>
          <w:bCs/>
        </w:rPr>
        <w:t xml:space="preserve">ricalibrate su dati italiani</w:t>
      </w:r>
      <w:r>
        <w:t xml:space="preserve">) sono: (a) il modello “Z-Score applicato alle PMI” di Pietro Bottani</w:t>
      </w:r>
      <w:hyperlink r:id="rId22">
        <w:r>
          <w:rPr>
            <w:rStyle w:val="Hyperlink"/>
          </w:rPr>
          <w:t xml:space="preserve">[3]</w:t>
        </w:r>
      </w:hyperlink>
      <w:r>
        <w:t xml:space="preserve">, Letizia Cipriani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e Francescomaria Serao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(2004), stimato con analisi discriminante su un campione bilanciato di 66 PMI manifatturiere italiane; (b) la famiglia</w:t>
      </w:r>
      <w:r>
        <w:t xml:space="preserve"> </w:t>
      </w:r>
      <w:r>
        <w:rPr>
          <w:b/>
          <w:bCs/>
        </w:rPr>
        <w:t xml:space="preserve">ZI-Score</w:t>
      </w:r>
      <w:r>
        <w:t xml:space="preserve"> </w:t>
      </w:r>
      <w:r>
        <w:t xml:space="preserve">(modelli logit settoriali) proposta da Maurizio Esentato</w:t>
      </w: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e Gabriele Sabato</w:t>
      </w:r>
      <w:hyperlink r:id="rId22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con applicazione al mercato dei minibond, basata su un ampio dataset AIDA di PMI italiane e con metriche di performance (errori di I e II tipo, accuratezza, accuracy ratio) anche su campioni hold-out; (c) la revisione post‑pandemica che combina logica Z-score e “sistemi di allerta” italiani (2022) su un campione di PMI italiane 2015–2019.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I punti critici, costanti nel tempo, sono: dipendenza da</w:t>
      </w:r>
      <w:r>
        <w:t xml:space="preserve"> </w:t>
      </w:r>
      <w:r>
        <w:rPr>
          <w:b/>
          <w:bCs/>
        </w:rPr>
        <w:t xml:space="preserve">qualità/omogeneità contabile</w:t>
      </w:r>
      <w:r>
        <w:t xml:space="preserve">, sensibilità a definizioni (working capital, EBIT/EBITDA, riserve, riclassificazioni), trasferibilità “as-is” tra paesi/settori e instabilità dei cut-off al variare della popolazione (da cui la preferenza, in Italia, per</w:t>
      </w:r>
      <w:r>
        <w:t xml:space="preserve"> </w:t>
      </w:r>
      <w:r>
        <w:rPr>
          <w:b/>
          <w:bCs/>
        </w:rPr>
        <w:t xml:space="preserve">ricalibrazioni</w:t>
      </w:r>
      <w:r>
        <w:t xml:space="preserve"> </w:t>
      </w:r>
      <w:r>
        <w:t xml:space="preserve">e validazioni locali, soprattutto su PMI e in ottica early warning).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bookmarkEnd w:id="24"/>
    <w:bookmarkStart w:id="25" w:name="Xde19a76094731378904ff8fe39a80b84107f54d"/>
    <w:p>
      <w:pPr>
        <w:pStyle w:val="Heading2"/>
      </w:pPr>
      <w:r>
        <w:t xml:space="preserve">Fondamenti: logica dello Z-Score e significato delle variabili</w:t>
      </w:r>
    </w:p>
    <w:p>
      <w:pPr>
        <w:pStyle w:val="FirstParagraph"/>
      </w:pPr>
      <w:r>
        <w:t xml:space="preserve">Nella formulazione base, lo Z-score è una</w:t>
      </w:r>
      <w:r>
        <w:t xml:space="preserve"> </w:t>
      </w:r>
      <w:r>
        <w:rPr>
          <w:b/>
          <w:bCs/>
        </w:rPr>
        <w:t xml:space="preserve">combinazione lineare</w:t>
      </w:r>
      <w:r>
        <w:t xml:space="preserve"> </w:t>
      </w:r>
      <w:r>
        <w:t xml:space="preserve">di pochi rapporti, stimata con</w:t>
      </w:r>
      <w:r>
        <w:t xml:space="preserve"> </w:t>
      </w:r>
      <w:r>
        <w:rPr>
          <w:b/>
          <w:bCs/>
        </w:rPr>
        <w:t xml:space="preserve">multiple discriminant analysis (MDA)</w:t>
      </w:r>
      <w:r>
        <w:t xml:space="preserve"> </w:t>
      </w:r>
      <w:r>
        <w:t xml:space="preserve">per massimizzare la separazione tra due gruppi (distressed vs non‑distressed). L’idea economica è che la crisi non sia visibile in un solo indice, ma nel</w:t>
      </w:r>
      <w:r>
        <w:t xml:space="preserve"> </w:t>
      </w:r>
      <w:r>
        <w:rPr>
          <w:b/>
          <w:bCs/>
        </w:rPr>
        <w:t xml:space="preserve">profilo congiunto</w:t>
      </w:r>
      <w:r>
        <w:t xml:space="preserve"> </w:t>
      </w:r>
      <w:r>
        <w:t xml:space="preserve">di liquidità, redditività e struttura finanziaria.</w:t>
      </w:r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Le variabili della versione “classica” (1968) sono: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X1 = Working capital / Total assets</w:t>
      </w:r>
      <w:r>
        <w:t xml:space="preserve">: liquidità netta a breve rispetto alla dimensione dell’attivo;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X2 = Retained earnings / Total assets</w:t>
      </w:r>
      <w:r>
        <w:t xml:space="preserve">: redditività cumulata e “maturità”/capacità di autofinanziamento;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X3 = EBIT / Total assets</w:t>
      </w:r>
      <w:r>
        <w:t xml:space="preserve">: efficienza operativa indipendente da leva e fiscalità;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X4 = Market value of equity / Book value of total liabilities</w:t>
      </w:r>
      <w:r>
        <w:t xml:space="preserve">: “cuscinetto” di capitale (di mercato) rispetto all’indebitamento;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X5 = Sales / Total assets</w:t>
      </w:r>
      <w:r>
        <w:t xml:space="preserve">: rotazione/efficienza d’impiego dell’attivo.</w:t>
      </w:r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Due implicazioni operative derivano direttamente da queste definizioni: (i) la presenza di</w:t>
      </w:r>
      <w:r>
        <w:t xml:space="preserve"> </w:t>
      </w:r>
      <w:r>
        <w:rPr>
          <w:b/>
          <w:bCs/>
        </w:rPr>
        <w:t xml:space="preserve">X4 di mercato</w:t>
      </w:r>
      <w:r>
        <w:t xml:space="preserve"> </w:t>
      </w:r>
      <w:r>
        <w:t xml:space="preserve">rende la versione 1968 coerente con società</w:t>
      </w:r>
      <w:r>
        <w:t xml:space="preserve"> </w:t>
      </w:r>
      <w:r>
        <w:rPr>
          <w:b/>
          <w:bCs/>
        </w:rPr>
        <w:t xml:space="preserve">quotate</w:t>
      </w:r>
      <w:r>
        <w:t xml:space="preserve">; (ii)</w:t>
      </w:r>
      <w:r>
        <w:t xml:space="preserve"> </w:t>
      </w:r>
      <w:r>
        <w:rPr>
          <w:b/>
          <w:bCs/>
        </w:rPr>
        <w:t xml:space="preserve">X5</w:t>
      </w:r>
      <w:r>
        <w:t xml:space="preserve"> </w:t>
      </w:r>
      <w:r>
        <w:t xml:space="preserve">è intrinsecamente</w:t>
      </w:r>
      <w:r>
        <w:t xml:space="preserve"> </w:t>
      </w:r>
      <w:r>
        <w:rPr>
          <w:b/>
          <w:bCs/>
        </w:rPr>
        <w:t xml:space="preserve">settore‑sensibile</w:t>
      </w:r>
      <w:r>
        <w:t xml:space="preserve">, motivo per cui nelle evoluzioni successive viene eliminata per aumentare la trasferibilità a servizi/non manifatturiero e contesti internazionali.</w:t>
      </w:r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</w:p>
    <w:bookmarkEnd w:id="25"/>
    <w:bookmarkStart w:id="28" w:name="X3d837d884161ed502ef990ecd31351a1679c8b1"/>
    <w:p>
      <w:pPr>
        <w:pStyle w:val="Heading2"/>
      </w:pPr>
      <w:r>
        <w:t xml:space="preserve">La famiglia dei modelli Altman: modelli “canonici” e formule ufficiali</w:t>
      </w:r>
    </w:p>
    <w:p>
      <w:pPr>
        <w:pStyle w:val="FirstParagraph"/>
      </w:pPr>
      <w:r>
        <w:t xml:space="preserve">Di seguito sono riportati i modelli che, nelle fonti primarie e quasi‑primarie disponibili, risultano parte della “famiglia” Z-score (incluse le revisioni strutturali e l’EM‑Score). Le formule sono riportate con</w:t>
      </w:r>
      <w:r>
        <w:t xml:space="preserve"> </w:t>
      </w:r>
      <w:r>
        <w:rPr>
          <w:b/>
          <w:bCs/>
        </w:rPr>
        <w:t xml:space="preserve">virgola decimale</w:t>
      </w:r>
      <w:r>
        <w:t xml:space="preserve"> </w:t>
      </w:r>
      <w:r>
        <w:t xml:space="preserve">(notazione italiana), preservando i coefficienti originali.</w:t>
      </w:r>
    </w:p>
    <w:p>
      <w:pPr>
        <w:pStyle w:val="BodyText"/>
      </w:pPr>
      <w:r>
        <w:rPr>
          <w:b/>
          <w:bCs/>
        </w:rPr>
        <w:t xml:space="preserve">Z-Score (1968) – manifatturiere quotate (USA)</w:t>
      </w:r>
      <w:r>
        <w:br/>
      </w:r>
      <w:r>
        <w:rPr>
          <w:b/>
          <w:bCs/>
        </w:rPr>
        <w:t xml:space="preserve">Anno e riferimento primario:</w:t>
      </w:r>
      <w:r>
        <w:t xml:space="preserve"> </w:t>
      </w:r>
      <w:r>
        <w:t xml:space="preserve">1968 (sviluppo), ricostruzione e sintesi metodologica nel working paper/chapter 2002 del NYU Salomon Center</w:t>
      </w:r>
      <w:hyperlink r:id="rId26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della New York University</w:t>
      </w:r>
      <w:hyperlink r:id="rId27">
        <w:r>
          <w:rPr>
            <w:rStyle w:val="Hyperlink"/>
          </w:rPr>
          <w:t xml:space="preserve">[14]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  <w:r>
        <w:br/>
      </w:r>
      <w:r>
        <w:rPr>
          <w:b/>
          <w:bCs/>
        </w:rPr>
        <w:t xml:space="preserve">Formula completa: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4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,</m:t>
          </m:r>
          <m:r>
            <m:t>3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6</m:t>
          </m:r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sSub>
            <m:e>
              <m:r>
                <m:t>X</m:t>
              </m:r>
            </m:e>
            <m:sub>
              <m:r>
                <m:t>5</m:t>
              </m:r>
            </m:sub>
          </m:sSub>
        </m:oMath>
      </m:oMathPara>
    </w:p>
    <w:p>
      <w:pPr>
        <w:pStyle w:val="FirstParagraph"/>
      </w:pPr>
      <w:r>
        <w:t xml:space="preserve">con definizioni X1–X5 come sopra.</w:t>
      </w:r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br/>
      </w:r>
      <w:r>
        <w:rPr>
          <w:b/>
          <w:bCs/>
        </w:rPr>
        <w:t xml:space="preserve">Dataset e stima:</w:t>
      </w:r>
      <w:r>
        <w:t xml:space="preserve"> </w:t>
      </w:r>
      <w:r>
        <w:t xml:space="preserve">campione iniziale di</w:t>
      </w:r>
      <w:r>
        <w:t xml:space="preserve"> </w:t>
      </w:r>
      <w:r>
        <w:rPr>
          <w:b/>
          <w:bCs/>
        </w:rPr>
        <w:t xml:space="preserve">66 imprese</w:t>
      </w:r>
      <w:r>
        <w:t xml:space="preserve"> </w:t>
      </w:r>
      <w:r>
        <w:t xml:space="preserve">(33 distressed + 33 non‑distressed), manifatturiere; distressed = imprese che hanno presentato istanza di bankruptcy (Chapter X) nel periodo</w:t>
      </w:r>
      <w:r>
        <w:t xml:space="preserve"> </w:t>
      </w:r>
      <w:r>
        <w:rPr>
          <w:b/>
          <w:bCs/>
        </w:rPr>
        <w:t xml:space="preserve">1946–1965</w:t>
      </w:r>
      <w:r>
        <w:t xml:space="preserve">; campione “paired” stratificato per industria e dimensione; asset range limitato tra</w:t>
      </w:r>
      <w:r>
        <w:t xml:space="preserve"> </w:t>
      </w:r>
      <w:r>
        <w:rPr>
          <w:b/>
          <w:bCs/>
        </w:rPr>
        <w:t xml:space="preserve">$1 e $25 milioni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br/>
      </w:r>
      <w:r>
        <w:rPr>
          <w:b/>
          <w:bCs/>
        </w:rPr>
        <w:t xml:space="preserve">Performance riportate:</w:t>
      </w:r>
      <w:r>
        <w:t xml:space="preserve"> </w:t>
      </w:r>
      <w:r>
        <w:t xml:space="preserve">nel documento 2002 sono presentate accuratezze di classificazione anche su campioni successivi e con cut‑off 2,67 (e confronto con 1,81). In particolare, una tabella riporta accuratezze a 1 e 2 anni prima del failure per campione originale, holdout e campioni predittivi storici (1969–1975, 1976–1995, 1997–1999).</w:t>
      </w:r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  <w:r>
        <w:br/>
      </w:r>
      <w:r>
        <w:rPr>
          <w:b/>
          <w:bCs/>
        </w:rPr>
        <w:t xml:space="preserve">Commenti critici e limiti:</w:t>
      </w:r>
      <w:r>
        <w:t xml:space="preserve"> </w:t>
      </w:r>
      <w:r>
        <w:t xml:space="preserve">presupposti statistici della MDA (normalità multivariata, indipendenza/struttura di covarianza) sono spesso violati nei dati contabili; inoltre la trasferibilità temporale richiede cautela perché la distribuzione dei ratios cambia; nel documento 2002 è esplicitato che anche la scelta del cut‑off impatta sensibilmente errori e risultati.</w:t>
      </w:r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Z’-Score (1983) – manifatturiere non quotate</w:t>
      </w:r>
      <w:r>
        <w:br/>
      </w:r>
      <w:r>
        <w:rPr>
          <w:b/>
          <w:bCs/>
        </w:rPr>
        <w:t xml:space="preserve">Anno e riferimento primario:</w:t>
      </w:r>
      <w:r>
        <w:t xml:space="preserve"> </w:t>
      </w:r>
      <w:r>
        <w:t xml:space="preserve">1983 (adattamento), formula riportata nel documento 2002.</w:t>
      </w:r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  <w:r>
        <w:br/>
      </w:r>
      <w:r>
        <w:rPr>
          <w:b/>
          <w:bCs/>
        </w:rPr>
        <w:t xml:space="preserve">Formula completa: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717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847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,</m:t>
          </m:r>
          <m:r>
            <m:t>107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420</m:t>
          </m:r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998</m:t>
          </m:r>
          <m:sSub>
            <m:e>
              <m:r>
                <m:t>X</m:t>
              </m:r>
            </m:e>
            <m:sub>
              <m:r>
                <m:t>5</m:t>
              </m:r>
            </m:sub>
          </m:sSub>
        </m:oMath>
      </m:oMathPara>
    </w:p>
    <w:p>
      <w:pPr>
        <w:pStyle w:val="FirstParagraph"/>
      </w:pPr>
      <w:r>
        <w:t xml:space="preserve">dove X1, X2, X3 e X5 sono definiti come nel modello 1968;</w:t>
      </w:r>
      <w:r>
        <w:t xml:space="preserve"> </w:t>
      </w:r>
      <w:r>
        <w:rPr>
          <w:b/>
          <w:bCs/>
        </w:rPr>
        <w:t xml:space="preserve">X4</w:t>
      </w:r>
      <w:r>
        <w:t xml:space="preserve"> </w:t>
      </w:r>
      <w:r>
        <w:t xml:space="preserve">viene sostituita (in logica) da una versione</w:t>
      </w:r>
      <w:r>
        <w:t xml:space="preserve"> </w:t>
      </w:r>
      <w:r>
        <w:rPr>
          <w:b/>
          <w:bCs/>
        </w:rPr>
        <w:t xml:space="preserve">contabile</w:t>
      </w:r>
      <w:r>
        <w:t xml:space="preserve"> </w:t>
      </w:r>
      <w:r>
        <w:t xml:space="preserve">(book value of equity / total liabilities), perché la variabile di mercato non è disponibile per imprese non quotate.</w:t>
      </w:r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  <w:r>
        <w:br/>
      </w:r>
      <w:r>
        <w:rPr>
          <w:b/>
          <w:bCs/>
        </w:rPr>
        <w:t xml:space="preserve">Uso tipico:</w:t>
      </w:r>
      <w:r>
        <w:t xml:space="preserve"> </w:t>
      </w:r>
      <w:r>
        <w:t xml:space="preserve">manifattura, imprese private/non quotate; utile quando l’obiettivo è mantenere la struttura a 5 variabili ma rendere il modello applicabile senza dati di borsa.</w:t>
      </w:r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  <w:r>
        <w:br/>
      </w:r>
      <w:r>
        <w:rPr>
          <w:b/>
          <w:bCs/>
        </w:rPr>
        <w:t xml:space="preserve">Limiti:</w:t>
      </w:r>
      <w:r>
        <w:t xml:space="preserve"> </w:t>
      </w:r>
      <w:r>
        <w:t xml:space="preserve">l’autore sottolinea che sostituzioni “ad hoc” in un modello pensato per quotate non sono “scientificamente valide” e preferisce una</w:t>
      </w:r>
      <w:r>
        <w:t xml:space="preserve"> </w:t>
      </w:r>
      <w:r>
        <w:rPr>
          <w:b/>
          <w:bCs/>
        </w:rPr>
        <w:t xml:space="preserve">re‑stima completa</w:t>
      </w:r>
      <w:r>
        <w:t xml:space="preserve">; ciò rende Z’ concettualmente una ricalibrazione più solida rispetto a semplici proxy.</w:t>
      </w:r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Z’’-Score (1995) – non manifatturiere e applicazioni internazionali (“emerging markets”)</w:t>
      </w:r>
      <w:r>
        <w:br/>
      </w:r>
      <w:r>
        <w:rPr>
          <w:b/>
          <w:bCs/>
        </w:rPr>
        <w:t xml:space="preserve">Anno e riferimento primario:</w:t>
      </w:r>
      <w:r>
        <w:t xml:space="preserve"> </w:t>
      </w:r>
      <w:r>
        <w:t xml:space="preserve">1995 (introduzione), formula e motivazione nel documento 2002.</w:t>
      </w:r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  <w:r>
        <w:br/>
      </w:r>
      <w:r>
        <w:rPr>
          <w:b/>
          <w:bCs/>
        </w:rPr>
        <w:t xml:space="preserve">Formula completa (versione a 4 variabili):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″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56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,</m:t>
          </m:r>
          <m:r>
            <m:t>26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,</m:t>
          </m:r>
          <m:r>
            <m:t>72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05</m:t>
          </m:r>
          <m:sSub>
            <m:e>
              <m:r>
                <m:t>X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t xml:space="preserve">dove X1 = working capital/total assets; X2 = retained earnings/total assets; X3 = EBIT/total assets; X4 = (book) equity/total liabilities. La variabile</w:t>
      </w:r>
      <w:r>
        <w:t xml:space="preserve"> </w:t>
      </w:r>
      <w:r>
        <w:rPr>
          <w:b/>
          <w:bCs/>
        </w:rPr>
        <w:t xml:space="preserve">X5 (Sales/TA)</w:t>
      </w:r>
      <w:r>
        <w:t xml:space="preserve"> </w:t>
      </w:r>
      <w:r>
        <w:t xml:space="preserve">viene rimossa per minimizzare distorsioni legate a settore e paese.</w:t>
      </w:r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  <w:r>
        <w:br/>
      </w:r>
      <w:r>
        <w:rPr>
          <w:b/>
          <w:bCs/>
        </w:rPr>
        <w:t xml:space="preserve">Contesto d’uso dichiarato:</w:t>
      </w:r>
      <w:r>
        <w:t xml:space="preserve"> </w:t>
      </w:r>
      <w:r>
        <w:t xml:space="preserve">non manifatturiero e imprese non‑US/mercati emergenti; nel documento 2002 si cita applicazione a imprese messicane emittenti Eurobonds in USD.</w:t>
      </w:r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  <w:r>
        <w:br/>
      </w:r>
      <w:r>
        <w:rPr>
          <w:b/>
          <w:bCs/>
        </w:rPr>
        <w:t xml:space="preserve">Limiti:</w:t>
      </w:r>
      <w:r>
        <w:t xml:space="preserve"> </w:t>
      </w:r>
      <w:r>
        <w:t xml:space="preserve">miglioramento di trasferibilità settoriale non elimina la necessità di tarature locali (cut‑off e prior aggiornati) e resta sensibile a riclassificazioni/qualità dei bilanci.</w:t>
      </w:r>
      <w:r>
        <w:t xml:space="preserve"> </w:t>
      </w:r>
      <w:hyperlink r:id="rId21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EM-Score (emerging market score) – standardizzazione con costante</w:t>
      </w:r>
      <w:r>
        <w:br/>
      </w:r>
      <w:r>
        <w:rPr>
          <w:b/>
          <w:bCs/>
        </w:rPr>
        <w:t xml:space="preserve">Anno e riferimento primario:</w:t>
      </w:r>
      <w:r>
        <w:t xml:space="preserve"> </w:t>
      </w:r>
      <w:r>
        <w:t xml:space="preserve">formalizzato nel documento 2002 come estensione del modello “emerging market” con costante.</w:t>
      </w:r>
      <w:r>
        <w:t xml:space="preserve"> </w:t>
      </w:r>
      <w:hyperlink r:id="rId21">
        <w:r>
          <w:rPr>
            <w:rStyle w:val="Hyperlink"/>
          </w:rPr>
          <w:t xml:space="preserve">[26]</w:t>
        </w:r>
      </w:hyperlink>
      <w:r>
        <w:br/>
      </w:r>
      <w:r>
        <w:rPr>
          <w:b/>
          <w:bCs/>
        </w:rPr>
        <w:t xml:space="preserve">Formula completa (standardizzazione):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M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25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,</m:t>
          </m:r>
          <m:r>
            <m:t>56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,</m:t>
          </m:r>
          <m:r>
            <m:t>26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,</m:t>
          </m:r>
          <m:r>
            <m:t>72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05</m:t>
          </m:r>
          <m:sSub>
            <m:e>
              <m:r>
                <m:t>X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t xml:space="preserve">La costante</w:t>
      </w:r>
      <w:r>
        <w:t xml:space="preserve"> </w:t>
      </w:r>
      <w:r>
        <w:rPr>
          <w:b/>
          <w:bCs/>
        </w:rPr>
        <w:t xml:space="preserve">+3,25</w:t>
      </w:r>
      <w:r>
        <w:t xml:space="preserve"> </w:t>
      </w:r>
      <w:r>
        <w:t xml:space="preserve">è introdotta per standardizzare i punteggi ponendo</w:t>
      </w:r>
      <w:r>
        <w:t xml:space="preserve"> </w:t>
      </w:r>
      <w:r>
        <w:rPr>
          <w:b/>
          <w:bCs/>
        </w:rPr>
        <w:t xml:space="preserve">0 ≈ rating D (default)</w:t>
      </w:r>
      <w:r>
        <w:t xml:space="preserve"> </w:t>
      </w:r>
      <w:r>
        <w:t xml:space="preserve">nella scala di equivalenza.</w:t>
      </w:r>
      <w:r>
        <w:t xml:space="preserve"> </w:t>
      </w:r>
      <w:hyperlink r:id="rId21">
        <w:r>
          <w:rPr>
            <w:rStyle w:val="Hyperlink"/>
          </w:rPr>
          <w:t xml:space="preserve">[26]</w:t>
        </w:r>
      </w:hyperlink>
      <w:r>
        <w:br/>
      </w:r>
      <w:r>
        <w:rPr>
          <w:b/>
          <w:bCs/>
        </w:rPr>
        <w:t xml:space="preserve">Output “interpretativo”:</w:t>
      </w:r>
      <w:r>
        <w:t xml:space="preserve"> </w:t>
      </w:r>
      <w:r>
        <w:t xml:space="preserve">nel documento 2002 sono riportate soglie di equivalenza rating basate su EM Score (AAA…D).</w:t>
      </w:r>
      <w:r>
        <w:t xml:space="preserve"> </w:t>
      </w:r>
      <w:hyperlink r:id="rId21">
        <w:r>
          <w:rPr>
            <w:rStyle w:val="Hyperlink"/>
          </w:rPr>
          <w:t xml:space="preserve">[26]</w:t>
        </w:r>
      </w:hyperlink>
      <w:r>
        <w:br/>
      </w:r>
      <w:r>
        <w:rPr>
          <w:b/>
          <w:bCs/>
        </w:rPr>
        <w:t xml:space="preserve">Nota metodologica:</w:t>
      </w:r>
      <w:r>
        <w:t xml:space="preserve"> </w:t>
      </w:r>
      <w:r>
        <w:t xml:space="preserve">l’equivalenza rating è una mappatura empirica (non un rating “ufficiale”), utile per comunicare rischio in linguaggio di mercato.</w:t>
      </w:r>
      <w:r>
        <w:t xml:space="preserve"> </w:t>
      </w:r>
      <w:hyperlink r:id="rId21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b/>
          <w:bCs/>
        </w:rPr>
        <w:t xml:space="preserve">ZETA® (1977) – “second generation” credit risk model</w:t>
      </w:r>
      <w:r>
        <w:br/>
      </w:r>
      <w:r>
        <w:rPr>
          <w:b/>
          <w:bCs/>
        </w:rPr>
        <w:t xml:space="preserve">Anno e riferimento:</w:t>
      </w:r>
      <w:r>
        <w:t xml:space="preserve"> </w:t>
      </w:r>
      <w:r>
        <w:t xml:space="preserve">1977; nel documento 2002 è descritto come evoluzione “second‑generation” e viene esplicitato che il modello è</w:t>
      </w:r>
      <w:r>
        <w:t xml:space="preserve"> </w:t>
      </w:r>
      <w:r>
        <w:rPr>
          <w:b/>
          <w:bCs/>
        </w:rPr>
        <w:t xml:space="preserve">proprietario</w:t>
      </w:r>
      <w:r>
        <w:t xml:space="preserve"> </w:t>
      </w:r>
      <w:r>
        <w:t xml:space="preserve">e che i parametri non vengono completamente divulgati.</w:t>
      </w:r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  <w:r>
        <w:br/>
      </w:r>
      <w:r>
        <w:rPr>
          <w:b/>
          <w:bCs/>
        </w:rPr>
        <w:t xml:space="preserve">Formula matematica:</w:t>
      </w:r>
      <w:r>
        <w:t xml:space="preserve"> </w:t>
      </w:r>
      <w:r>
        <w:rPr>
          <w:b/>
          <w:bCs/>
        </w:rPr>
        <w:t xml:space="preserve">non specificata</w:t>
      </w:r>
      <w:r>
        <w:t xml:space="preserve"> </w:t>
      </w:r>
      <w:r>
        <w:t xml:space="preserve">nelle fonti accessibili qui utilizzate, perché l’autore dichiara di non poter “fully disclose” i parametri in quanto proprietary.</w:t>
      </w:r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  <w:r>
        <w:br/>
      </w:r>
      <w:r>
        <w:rPr>
          <w:b/>
          <w:bCs/>
        </w:rPr>
        <w:t xml:space="preserve">Contesto dichiarato:</w:t>
      </w:r>
      <w:r>
        <w:t xml:space="preserve"> </w:t>
      </w:r>
      <w:r>
        <w:t xml:space="preserve">campione di corporations (manufacturers e retailers) e capacità di classificazione fino a 5 anni nel testo di sintesi; è inoltre citata sperimentazione con forme non lineari (es. quadratic) e confronto tra prestazioni in-sample e out-of-sample.</w:t>
      </w:r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  <w:r>
        <w:br/>
      </w:r>
      <w:r>
        <w:rPr>
          <w:b/>
          <w:bCs/>
        </w:rPr>
        <w:t xml:space="preserve">Limite strutturale:</w:t>
      </w:r>
      <w:r>
        <w:t xml:space="preserve"> </w:t>
      </w:r>
      <w:r>
        <w:t xml:space="preserve">la non piena trasparenza rende difficile replicare validazioni indipendenti, e sposta l’utilizzo verso contesti “vendor/proprietary model” più che verso implementazioni open.</w:t>
      </w:r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  title Evoluzione sintetica di modelli Z-score e affini</w:t>
      </w:r>
      <w:r>
        <w:br/>
      </w:r>
      <w:r>
        <w:rPr>
          <w:rStyle w:val="VerbatimChar"/>
        </w:rPr>
        <w:t xml:space="preserve">    1968 : Z-Score (quotate manifatturiere)</w:t>
      </w:r>
      <w:r>
        <w:br/>
      </w:r>
      <w:r>
        <w:rPr>
          <w:rStyle w:val="VerbatimChar"/>
        </w:rPr>
        <w:t xml:space="preserve">    1977 : ZETA (second generation, proprietario)</w:t>
      </w:r>
      <w:r>
        <w:br/>
      </w:r>
      <w:r>
        <w:rPr>
          <w:rStyle w:val="VerbatimChar"/>
        </w:rPr>
        <w:t xml:space="preserve">    1983 : Z'-Score (non quotate manifatturiere)</w:t>
      </w:r>
      <w:r>
        <w:br/>
      </w:r>
      <w:r>
        <w:rPr>
          <w:rStyle w:val="VerbatimChar"/>
        </w:rPr>
        <w:t xml:space="preserve">    1995 : Z''-Score (non manifatturiere / contesti internazionali)</w:t>
      </w:r>
      <w:r>
        <w:br/>
      </w:r>
      <w:r>
        <w:rPr>
          <w:rStyle w:val="VerbatimChar"/>
        </w:rPr>
        <w:t xml:space="preserve">    2002 : EM-Score (costante +3,25 e mapping a rating equivalenti)</w:t>
      </w:r>
      <w:r>
        <w:br/>
      </w:r>
      <w:r>
        <w:rPr>
          <w:rStyle w:val="VerbatimChar"/>
        </w:rPr>
        <w:t xml:space="preserve">    2004 : Ricalibrazione Italia PMI (Bottani-Cipriani-Serao)</w:t>
      </w:r>
      <w:r>
        <w:br/>
      </w:r>
      <w:r>
        <w:rPr>
          <w:rStyle w:val="VerbatimChar"/>
        </w:rPr>
        <w:t xml:space="preserve">    2016 : ZI-Score logit per PMI italiane e minibond</w:t>
      </w:r>
      <w:r>
        <w:br/>
      </w:r>
      <w:r>
        <w:rPr>
          <w:rStyle w:val="VerbatimChar"/>
        </w:rPr>
        <w:t xml:space="preserve">    2022 : Revisione Z-score per PMI italiane e sistemi di allerta</w:t>
      </w:r>
    </w:p>
    <w:bookmarkEnd w:id="28"/>
    <w:bookmarkStart w:id="35" w:name="Xc665c9acb4273cca1787ce5a8c6600ad690e330"/>
    <w:p>
      <w:pPr>
        <w:pStyle w:val="Heading2"/>
      </w:pPr>
      <w:r>
        <w:t xml:space="preserve">Varianti calibrate per l’Italia e applicazioni “Italia‑centriche”</w:t>
      </w:r>
    </w:p>
    <w:bookmarkStart w:id="29" w:name="Xe29984c6772c9f4b509153932ae98e6492c8517"/>
    <w:p>
      <w:pPr>
        <w:pStyle w:val="Heading3"/>
      </w:pPr>
      <w:r>
        <w:t xml:space="preserve">Modello “Z-Score applicato alle PMI” (Italia, 2004)</w:t>
      </w:r>
    </w:p>
    <w:p>
      <w:pPr>
        <w:pStyle w:val="FirstParagraph"/>
      </w:pPr>
      <w:r>
        <w:rPr>
          <w:b/>
          <w:bCs/>
        </w:rPr>
        <w:t xml:space="preserve">Autori e fonte primaria:</w:t>
      </w:r>
      <w:r>
        <w:t xml:space="preserve"> </w:t>
      </w:r>
      <w:r>
        <w:t xml:space="preserve">Pietro Bottani</w:t>
      </w:r>
      <w:hyperlink r:id="rId22">
        <w:r>
          <w:rPr>
            <w:rStyle w:val="Hyperlink"/>
          </w:rPr>
          <w:t xml:space="preserve">[3]</w:t>
        </w:r>
      </w:hyperlink>
      <w:r>
        <w:t xml:space="preserve">, Letizia Cipriani</w:t>
      </w:r>
      <w:hyperlink r:id="rId21">
        <w:r>
          <w:rPr>
            <w:rStyle w:val="Hyperlink"/>
          </w:rPr>
          <w:t xml:space="preserve">[4]</w:t>
        </w:r>
      </w:hyperlink>
      <w:r>
        <w:t xml:space="preserve">, Francescomaria Serao</w:t>
      </w:r>
      <w:hyperlink r:id="rId21">
        <w:r>
          <w:rPr>
            <w:rStyle w:val="Hyperlink"/>
          </w:rPr>
          <w:t xml:space="preserve">[5]</w:t>
        </w:r>
      </w:hyperlink>
      <w:r>
        <w:t xml:space="preserve">; articolo pubblicato e diffuso come PDF istituzionale.</w:t>
      </w:r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Dataset (periodo, dimensione, fonte):</w:t>
      </w:r>
      <w:r>
        <w:t xml:space="preserve"> </w:t>
      </w:r>
      <w:r>
        <w:t xml:space="preserve">campione bilanciato di</w:t>
      </w:r>
      <w:r>
        <w:t xml:space="preserve"> </w:t>
      </w:r>
      <w:r>
        <w:rPr>
          <w:b/>
          <w:bCs/>
        </w:rPr>
        <w:t xml:space="preserve">66 società</w:t>
      </w:r>
      <w:r>
        <w:t xml:space="preserve"> </w:t>
      </w:r>
      <w:r>
        <w:t xml:space="preserve">(33 fallite + 33 non fallite), tutte PMI manifatturiere; il gruppo “fallite” è costituito da imprese dichiarate fallite nel</w:t>
      </w:r>
      <w:r>
        <w:t xml:space="preserve"> </w:t>
      </w:r>
      <w:r>
        <w:rPr>
          <w:b/>
          <w:bCs/>
        </w:rPr>
        <w:t xml:space="preserve">2002</w:t>
      </w:r>
      <w:r>
        <w:t xml:space="preserve">; bilanci analizzati:</w:t>
      </w:r>
      <w:r>
        <w:t xml:space="preserve"> </w:t>
      </w:r>
      <w:r>
        <w:rPr>
          <w:b/>
          <w:bCs/>
        </w:rPr>
        <w:t xml:space="preserve">1999 e 2000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Metodologia di stima:</w:t>
      </w:r>
      <w:r>
        <w:t xml:space="preserve"> </w:t>
      </w:r>
      <w:r>
        <w:t xml:space="preserve">analisi discriminante lineare (funzione discriminante con coefficienti stimati).</w:t>
      </w:r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Formula completa: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P</m:t>
              </m:r>
              <m:r>
                <m:t>M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981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,</m:t>
          </m:r>
          <m:r>
            <m:t>841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951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,</m:t>
          </m:r>
          <m:r>
            <m:t>206</m:t>
          </m:r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,</m:t>
          </m:r>
          <m:r>
            <m:t>037</m:t>
          </m:r>
          <m:sSub>
            <m:e>
              <m:r>
                <m:t>X</m:t>
              </m:r>
            </m:e>
            <m:sub>
              <m:r>
                <m:t>5</m:t>
              </m:r>
            </m:sub>
          </m:sSub>
        </m:oMath>
      </m:oMathPara>
    </w:p>
    <w:p>
      <w:pPr>
        <w:pStyle w:val="FirstParagraph"/>
      </w:pPr>
      <w:r>
        <w:t xml:space="preserve">con area di classificazione:</w:t>
      </w:r>
      <w:r>
        <w:br/>
      </w:r>
      <w:r>
        <w:t xml:space="preserve">- “sana” se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8</m:t>
        </m:r>
        <m:r>
          <m:rPr>
            <m:sty m:val="p"/>
          </m:rPr>
          <m:t>,</m:t>
        </m:r>
        <m:r>
          <m:t>105</m:t>
        </m:r>
      </m:oMath>
      <w:r>
        <w:br/>
      </w:r>
      <w:r>
        <w:t xml:space="preserve">- “destinata al fallimento” se</w:t>
      </w:r>
      <w:r>
        <w:t xml:space="preserve"> </w:t>
      </w:r>
      <m:oMath>
        <m:r>
          <m:t>Z</m:t>
        </m:r>
        <m:r>
          <m:rPr>
            <m:sty m:val="p"/>
          </m:rPr>
          <m:t>&lt;</m:t>
        </m:r>
        <m:r>
          <m:t>4</m:t>
        </m:r>
        <m:r>
          <m:rPr>
            <m:sty m:val="p"/>
          </m:rPr>
          <m:t>,</m:t>
        </m:r>
        <m:r>
          <m:t>846</m:t>
        </m:r>
      </m:oMath>
      <w:r>
        <w:br/>
      </w:r>
      <w:r>
        <w:t xml:space="preserve">- “area di incertezza” tra 4,846 e 8,105.</w:t>
      </w:r>
      <w:r>
        <w:t xml:space="preserve"> </w:t>
      </w:r>
      <w:hyperlink r:id="rId22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b/>
          <w:bCs/>
        </w:rPr>
        <w:t xml:space="preserve">Definizione delle variabili:</w:t>
      </w:r>
      <w:r>
        <w:br/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C</m:t>
            </m:r>
            <m:r>
              <m:rPr>
                <m:sty m:val="p"/>
              </m:rPr>
              <m:t>−</m:t>
            </m:r>
            <m:r>
              <m:t>P</m:t>
            </m:r>
            <m:r>
              <m:t>C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M</m:t>
            </m:r>
            <m:r>
              <m:rPr>
                <m:sty m:val="p"/>
              </m:rPr>
              <m:t>+</m:t>
            </m:r>
            <m:r>
              <m:t>A</m:t>
            </m:r>
            <m:r>
              <m:t>I</m:t>
            </m:r>
            <m:r>
              <m:rPr>
                <m:sty m:val="p"/>
              </m:rPr>
              <m:t>+</m:t>
            </m:r>
            <m:r>
              <m:t>R</m:t>
            </m:r>
            <m:r>
              <m:t>F</m:t>
            </m:r>
            <m:r>
              <m:rPr>
                <m:sty m:val="p"/>
              </m:rPr>
              <m:t>+</m:t>
            </m:r>
            <m:r>
              <m:t>A</m:t>
            </m:r>
            <m:r>
              <m:t>C</m:t>
            </m:r>
            <m:r>
              <m:rPr>
                <m:sty m:val="p"/>
              </m:rPr>
              <m:t>+</m:t>
            </m:r>
            <m:r>
              <m:t>D</m:t>
            </m:r>
            <m:r>
              <m:t>L</m:t>
            </m:r>
          </m:e>
        </m:d>
      </m:oMath>
      <w:r>
        <w:br/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t>L</m:t>
            </m:r>
            <m:r>
              <m:rPr>
                <m:sty m:val="p"/>
              </m:rPr>
              <m:t>+</m:t>
            </m:r>
            <m:r>
              <m:t>R</m:t>
            </m:r>
            <m:r>
              <m:t>S</m:t>
            </m:r>
          </m:e>
        </m:d>
        <m:r>
          <m:rPr>
            <m:sty m:val="p"/>
          </m:rPr>
          <m:t>/</m:t>
        </m:r>
        <m:r>
          <m:t>T</m:t>
        </m:r>
        <m:r>
          <m:t>A</m:t>
        </m:r>
      </m:oMath>
      <w:r>
        <w:br/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U</m:t>
        </m:r>
        <m:r>
          <m:t>O</m:t>
        </m:r>
        <m:r>
          <m:t>N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M</m:t>
            </m:r>
            <m:r>
              <m:rPr>
                <m:sty m:val="p"/>
              </m:rPr>
              <m:t>+</m:t>
            </m:r>
            <m:r>
              <m:t>A</m:t>
            </m:r>
            <m:r>
              <m:t>I</m:t>
            </m:r>
            <m:r>
              <m:rPr>
                <m:sty m:val="p"/>
              </m:rPr>
              <m:t>+</m:t>
            </m:r>
            <m:r>
              <m:t>R</m:t>
            </m:r>
            <m:r>
              <m:t>F</m:t>
            </m:r>
            <m:r>
              <m:rPr>
                <m:sty m:val="p"/>
              </m:rPr>
              <m:t>+</m:t>
            </m:r>
            <m:r>
              <m:t>A</m:t>
            </m:r>
            <m:r>
              <m:t>C</m:t>
            </m:r>
          </m:e>
        </m:d>
      </m:oMath>
      <w:r>
        <w:br/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P</m:t>
        </m:r>
        <m:r>
          <m:t>N</m:t>
        </m:r>
        <m:r>
          <m:rPr>
            <m:sty m:val="p"/>
          </m:rPr>
          <m:t>/</m:t>
        </m:r>
        <m:r>
          <m:t>T</m:t>
        </m:r>
        <m:r>
          <m:t>P</m:t>
        </m:r>
      </m:oMath>
      <w:r>
        <w:br/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R</m:t>
        </m:r>
        <m:r>
          <m:t>V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M</m:t>
            </m:r>
            <m:r>
              <m:rPr>
                <m:sty m:val="p"/>
              </m:rPr>
              <m:t>+</m:t>
            </m:r>
            <m:r>
              <m:t>A</m:t>
            </m:r>
            <m:r>
              <m:t>I</m:t>
            </m:r>
            <m:r>
              <m:rPr>
                <m:sty m:val="p"/>
              </m:rPr>
              <m:t>+</m:t>
            </m:r>
            <m:r>
              <m:t>R</m:t>
            </m:r>
            <m:r>
              <m:t>F</m:t>
            </m:r>
            <m:r>
              <m:rPr>
                <m:sty m:val="p"/>
              </m:rPr>
              <m:t>+</m:t>
            </m:r>
            <m:r>
              <m:t>A</m:t>
            </m:r>
            <m:r>
              <m:t>C</m:t>
            </m:r>
            <m:r>
              <m:rPr>
                <m:sty m:val="p"/>
              </m:rPr>
              <m:t>+</m:t>
            </m:r>
            <m:r>
              <m:t>D</m:t>
            </m:r>
            <m:r>
              <m:t>L</m:t>
            </m:r>
          </m:e>
        </m:d>
      </m:oMath>
      <w:r>
        <w:br/>
      </w:r>
      <w:r>
        <w:t xml:space="preserve">dove (notazione del paper) AC attività correnti; PC passività correnti; AM imm. materiali; AI imm. immateriali; RF rimanenze finali; DL disponibilità liquide; RL riserva legale; RS riserva straordinaria; TA totale attività; UON utile operativo netto; PN patrimonio netto; TP totale passività; RV ricavi di vendita.</w:t>
      </w:r>
      <w:r>
        <w:t xml:space="preserve"> </w:t>
      </w:r>
      <w:hyperlink r:id="rId22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b/>
          <w:bCs/>
        </w:rPr>
        <w:t xml:space="preserve">Performance riportate:</w:t>
      </w:r>
      <w:r>
        <w:t xml:space="preserve"> </w:t>
      </w:r>
      <w:r>
        <w:t xml:space="preserve">usando i dati di bilancio dell’esercizio 2000, gli autori riportano una percentuale di corretta classificazione pari al</w:t>
      </w:r>
      <w:r>
        <w:t xml:space="preserve"> </w:t>
      </w:r>
      <w:r>
        <w:rPr>
          <w:b/>
          <w:bCs/>
        </w:rPr>
        <w:t xml:space="preserve">94%</w:t>
      </w:r>
      <w:r>
        <w:t xml:space="preserve">; inoltre calcolano una misura di affidabilità via t‑test (con t = 7,14) che consente di attribuire alla funzione un “grado di accuratezza” del</w:t>
      </w:r>
      <w:r>
        <w:t xml:space="preserve"> </w:t>
      </w:r>
      <w:r>
        <w:rPr>
          <w:b/>
          <w:bCs/>
        </w:rPr>
        <w:t xml:space="preserve">99,9%</w:t>
      </w:r>
      <w:r>
        <w:t xml:space="preserve"> </w:t>
      </w:r>
      <w:r>
        <w:t xml:space="preserve">nel senso indicato nel paper (hit ratio e verifica statistica).</w:t>
      </w:r>
      <w:r>
        <w:t xml:space="preserve"> </w:t>
      </w:r>
      <w:hyperlink r:id="rId22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b/>
          <w:bCs/>
        </w:rPr>
        <w:t xml:space="preserve">Commenti critici:</w:t>
      </w:r>
      <w:r>
        <w:t xml:space="preserve"> </w:t>
      </w:r>
      <w:r>
        <w:t xml:space="preserve">i coefficienti molto elevati su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(riserve/attivo) rendono il modello potenzialmente sensibile a politiche di distribuzione/accantonamento e a differenze di schema contabile; inoltre la taratura è su un campione relativamente ridotto e settorialmente omogeneo (manifattura), quindi richiede re‑validazione out‑of‑sample per estensioni ad altri comparti o periodi.</w:t>
      </w:r>
      <w:r>
        <w:t xml:space="preserve"> </w:t>
      </w:r>
      <w:hyperlink r:id="rId22">
        <w:r>
          <w:rPr>
            <w:rStyle w:val="Hyperlink"/>
          </w:rPr>
          <w:t xml:space="preserve">[33]</w:t>
        </w:r>
      </w:hyperlink>
    </w:p>
    <w:bookmarkEnd w:id="29"/>
    <w:bookmarkStart w:id="31" w:name="X7248d41e8601b52db43ad2d5978caf1b18e1ec7"/>
    <w:p>
      <w:pPr>
        <w:pStyle w:val="Heading3"/>
      </w:pPr>
      <w:r>
        <w:t xml:space="preserve">Applicazione ad “amministrazione straordinaria” (Italia, 2000–2010)</w:t>
      </w:r>
    </w:p>
    <w:p>
      <w:pPr>
        <w:pStyle w:val="FirstParagraph"/>
      </w:pPr>
      <w:r>
        <w:rPr>
          <w:b/>
          <w:bCs/>
        </w:rPr>
        <w:t xml:space="preserve">Fonte e obiettivo dichiarato:</w:t>
      </w:r>
      <w:r>
        <w:t xml:space="preserve"> </w:t>
      </w:r>
      <w:r>
        <w:t xml:space="preserve">una sintesi editoriale in Bancaria</w:t>
      </w:r>
      <w:hyperlink r:id="rId21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descrive un test di accuratezza per l’Italia dello Z‑Score su imprese soggette a procedure di amministrazione straordinaria 2000–2010, indicando migliore efficacia della variante Z’’.</w:t>
      </w:r>
      <w:r>
        <w:t xml:space="preserve"> </w:t>
      </w:r>
      <w:hyperlink r:id="rId23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rPr>
          <w:b/>
          <w:bCs/>
        </w:rPr>
        <w:t xml:space="preserve">Evidenza quantitativa accessibile:</w:t>
      </w:r>
      <w:r>
        <w:t xml:space="preserve"> </w:t>
      </w:r>
      <w:r>
        <w:t xml:space="preserve">una versione testuale del lavoro (riprodotta online) riporta che il campione annuale utilizzato per l’analisi include, ad esempio, nell’anno 2009</w:t>
      </w:r>
      <w:r>
        <w:t xml:space="preserve"> </w:t>
      </w:r>
      <w:r>
        <w:rPr>
          <w:b/>
          <w:bCs/>
        </w:rPr>
        <w:t xml:space="preserve">1.575 imprese</w:t>
      </w:r>
      <w:r>
        <w:t xml:space="preserve"> </w:t>
      </w:r>
      <w:r>
        <w:t xml:space="preserve">in sample e</w:t>
      </w:r>
      <w:r>
        <w:t xml:space="preserve"> </w:t>
      </w:r>
      <w:r>
        <w:rPr>
          <w:b/>
          <w:bCs/>
        </w:rPr>
        <w:t xml:space="preserve">413</w:t>
      </w:r>
      <w:r>
        <w:t xml:space="preserve"> </w:t>
      </w:r>
      <w:r>
        <w:t xml:space="preserve">“which met EA requirements”, con serie storica 2001–2009 e fonte dichiarata</w:t>
      </w:r>
      <w:r>
        <w:t xml:space="preserve"> </w:t>
      </w:r>
      <w:r>
        <w:rPr>
          <w:b/>
          <w:bCs/>
        </w:rPr>
        <w:t xml:space="preserve">AIDA</w:t>
      </w:r>
      <w:r>
        <w:t xml:space="preserve"> </w:t>
      </w:r>
      <w:r>
        <w:t xml:space="preserve">(nota nel testo).</w:t>
      </w:r>
      <w:r>
        <w:t xml:space="preserve"> </w:t>
      </w:r>
      <w:hyperlink r:id="rId30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b/>
          <w:bCs/>
        </w:rPr>
        <w:t xml:space="preserve">Dati non specificati nelle fonti qui accessibili:</w:t>
      </w:r>
      <w:r>
        <w:t xml:space="preserve"> </w:t>
      </w:r>
      <w:r>
        <w:t xml:space="preserve">non risultano ricostruibili in modo completo (i) parametri “ad hoc” eventualmente stimati; (ii) metriche tipo AUC; (iii) dettagli completi su confusion matrix e cut‑off re‑stimati. Il testo editoriale, tuttavia, conclude che le peculiarità italiane “richiederebbero parametri ad hoc”.</w:t>
      </w:r>
      <w:r>
        <w:t xml:space="preserve"> </w:t>
      </w:r>
      <w:hyperlink r:id="rId23">
        <w:r>
          <w:rPr>
            <w:rStyle w:val="Hyperlink"/>
          </w:rPr>
          <w:t xml:space="preserve">[37]</w:t>
        </w:r>
      </w:hyperlink>
    </w:p>
    <w:bookmarkEnd w:id="31"/>
    <w:bookmarkStart w:id="32" w:name="Xbd04403d39e78b120c1cef7e94870b037916873"/>
    <w:p>
      <w:pPr>
        <w:pStyle w:val="Heading3"/>
      </w:pPr>
      <w:r>
        <w:t xml:space="preserve">ZI‑Score per PMI italiane e minibond (Italia, 2016; pubblicazione 2020)</w:t>
      </w:r>
    </w:p>
    <w:p>
      <w:pPr>
        <w:pStyle w:val="FirstParagraph"/>
      </w:pPr>
      <w:r>
        <w:rPr>
          <w:b/>
          <w:bCs/>
        </w:rPr>
        <w:t xml:space="preserve">Autori e contesto:</w:t>
      </w:r>
      <w:r>
        <w:t xml:space="preserve"> </w:t>
      </w:r>
      <w:r>
        <w:t xml:space="preserve">studio su PMI italiane e minibond con affiliazioni che includono NYU Stern School of Business</w:t>
      </w:r>
      <w:hyperlink r:id="rId27">
        <w:r>
          <w:rPr>
            <w:rStyle w:val="Hyperlink"/>
          </w:rPr>
          <w:t xml:space="preserve">[38]</w:t>
        </w:r>
      </w:hyperlink>
      <w:r>
        <w:t xml:space="preserve">, Classis Capital SIM S.p.A</w:t>
      </w:r>
      <w:hyperlink r:id="rId21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e WiserFunding Ltd</w:t>
      </w:r>
      <w:hyperlink r:id="rId26">
        <w:r>
          <w:rPr>
            <w:rStyle w:val="Hyperlink"/>
          </w:rPr>
          <w:t xml:space="preserve">[40]</w:t>
        </w:r>
      </w:hyperlink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b/>
          <w:bCs/>
        </w:rPr>
        <w:t xml:space="preserve">Dataset (periodo, dimensione, fonte):</w:t>
      </w:r>
      <w:r>
        <w:t xml:space="preserve"> </w:t>
      </w:r>
      <w:r>
        <w:t xml:space="preserve">database estratto da</w:t>
      </w:r>
      <w:r>
        <w:t xml:space="preserve"> </w:t>
      </w:r>
      <w:r>
        <w:rPr>
          <w:b/>
          <w:bCs/>
        </w:rPr>
        <w:t xml:space="preserve">AIDA</w:t>
      </w:r>
      <w:r>
        <w:t xml:space="preserve"> </w:t>
      </w:r>
      <w:r>
        <w:t xml:space="preserve">(fonte dichiarata), con</w:t>
      </w:r>
      <w:r>
        <w:t xml:space="preserve"> </w:t>
      </w:r>
      <w:r>
        <w:rPr>
          <w:b/>
          <w:bCs/>
        </w:rPr>
        <w:t xml:space="preserve">15.452</w:t>
      </w:r>
      <w:r>
        <w:t xml:space="preserve"> </w:t>
      </w:r>
      <w:r>
        <w:t xml:space="preserve">PMI “attive” e</w:t>
      </w:r>
      <w:r>
        <w:t xml:space="preserve"> </w:t>
      </w:r>
      <w:r>
        <w:rPr>
          <w:b/>
          <w:bCs/>
        </w:rPr>
        <w:t xml:space="preserve">1.000</w:t>
      </w:r>
      <w:r>
        <w:t xml:space="preserve"> </w:t>
      </w:r>
      <w:r>
        <w:t xml:space="preserve">“non‑attive”; dopo data cleansing circa</w:t>
      </w:r>
      <w:r>
        <w:t xml:space="preserve"> </w:t>
      </w:r>
      <w:r>
        <w:rPr>
          <w:b/>
          <w:bCs/>
        </w:rPr>
        <w:t xml:space="preserve">13%</w:t>
      </w:r>
      <w:r>
        <w:t xml:space="preserve"> </w:t>
      </w:r>
      <w:r>
        <w:t xml:space="preserve">(2.032 imprese) è escluso.</w:t>
      </w:r>
      <w:r>
        <w:t xml:space="preserve"> </w:t>
      </w:r>
      <w:hyperlink r:id="rId26">
        <w:r>
          <w:rPr>
            <w:rStyle w:val="Hyperlink"/>
          </w:rPr>
          <w:t xml:space="preserve">[42]</w:t>
        </w:r>
      </w:hyperlink>
      <w:r>
        <w:br/>
      </w:r>
      <w:r>
        <w:t xml:space="preserve">Per l’applicazione minibond: campione di</w:t>
      </w:r>
      <w:r>
        <w:t xml:space="preserve"> </w:t>
      </w:r>
      <w:r>
        <w:rPr>
          <w:b/>
          <w:bCs/>
        </w:rPr>
        <w:t xml:space="preserve">102</w:t>
      </w:r>
      <w:r>
        <w:t xml:space="preserve"> </w:t>
      </w:r>
      <w:r>
        <w:t xml:space="preserve">emittenti minibond (circa 5 non analizzabili per mancanza dati) e applicazione su</w:t>
      </w:r>
      <w:r>
        <w:t xml:space="preserve"> </w:t>
      </w:r>
      <w:r>
        <w:rPr>
          <w:b/>
          <w:bCs/>
        </w:rPr>
        <w:t xml:space="preserve">98</w:t>
      </w:r>
      <w:r>
        <w:t xml:space="preserve"> </w:t>
      </w:r>
      <w:r>
        <w:t xml:space="preserve">emittenti con dati disponibili; minibond quotati/tradati su Borsa Italiana</w:t>
      </w:r>
      <w:hyperlink r:id="rId21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(piattaforma ExtraMOT Pro nel testo).</w:t>
      </w:r>
      <w:r>
        <w:t xml:space="preserve"> </w:t>
      </w:r>
      <w:hyperlink r:id="rId26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b/>
          <w:bCs/>
        </w:rPr>
        <w:t xml:space="preserve">Metodologia di stima:</w:t>
      </w:r>
      <w:r>
        <w:t xml:space="preserve"> </w:t>
      </w:r>
      <w:r>
        <w:t xml:space="preserve">regressione logistica con selezione forward step‑wise; quattro modelli settoriali (manifattura, retail, servizi, costruzioni/real estate), con 6–8 variabili e trasformazioni; training su 80% e test su hold‑out 20% per ciascun settore.</w:t>
      </w:r>
      <w:r>
        <w:t xml:space="preserve"> </w:t>
      </w:r>
      <w:hyperlink r:id="rId26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b/>
          <w:bCs/>
        </w:rPr>
        <w:t xml:space="preserve">Forma matematica (logit):</w:t>
      </w:r>
      <w:r>
        <w:t xml:space="preserve"> </w:t>
      </w:r>
      <w:r>
        <w:t xml:space="preserve">la forma generale di un modello logit per default (non essendo riportati qui i coefficienti puntuali settore‑specifici) è: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default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k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nary>
                      <m:r>
                        <m:t> 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sup>
              </m:sSup>
            </m:den>
          </m:f>
        </m:oMath>
      </m:oMathPara>
    </w:p>
    <w:p>
      <w:pPr>
        <w:pStyle w:val="FirstParagraph"/>
      </w:pPr>
      <w:r>
        <w:t xml:space="preserve">dove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sono gli indicatori/ratio (eventualmente trasformati) selezionati dal processo step‑wise, 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 coefficienti stimati. Il documento conferma l’uso della logistica e il numero di variabili per settore.</w:t>
      </w:r>
      <w:r>
        <w:t xml:space="preserve"> </w:t>
      </w:r>
      <w:hyperlink r:id="rId26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b/>
          <w:bCs/>
        </w:rPr>
        <w:t xml:space="preserve">Performance riportate (errori e accuracy ratio):</w:t>
      </w:r>
      <w:r>
        <w:t xml:space="preserve"> </w:t>
      </w:r>
      <w:r>
        <w:t xml:space="preserve">nello studio sono pubblicati, per ciascun settore, errori di I tipo (miss su default), II tipo (false positive) e misure sintetiche di accuratezza e “accuracy ratio” (basato su CAP). Esempi principali (campione di sviluppo; tra parentesi hold‑out):</w:t>
      </w:r>
      <w:r>
        <w:br/>
      </w:r>
      <w:r>
        <w:t xml:space="preserve">- Manifatturiero: Type I 6,92% (8,23%); Type II 26,57% (27,64%); accuratezza 83,26% (82,07%); accuracy ratio 93,08% (92,21%).</w:t>
      </w:r>
      <w:r>
        <w:t xml:space="preserve"> </w:t>
      </w:r>
      <w:hyperlink r:id="rId26">
        <w:r>
          <w:rPr>
            <w:rStyle w:val="Hyperlink"/>
          </w:rPr>
          <w:t xml:space="preserve">[42]</w:t>
        </w:r>
      </w:hyperlink>
      <w:r>
        <w:br/>
      </w:r>
      <w:r>
        <w:t xml:space="preserve">- Retail: Type I 16,77% (18,54%); Type II 27,78% (28,89%); accuratezza 77,73% (76,29%); accuracy ratio 83,23% (81,76%).</w:t>
      </w:r>
      <w:r>
        <w:t xml:space="preserve"> </w:t>
      </w:r>
      <w:hyperlink r:id="rId26">
        <w:r>
          <w:rPr>
            <w:rStyle w:val="Hyperlink"/>
          </w:rPr>
          <w:t xml:space="preserve">[42]</w:t>
        </w:r>
      </w:hyperlink>
      <w:r>
        <w:br/>
      </w:r>
      <w:r>
        <w:t xml:space="preserve">- Servizi: Type I 12,05% (14,88%); Type II 24,54% (26,43%); accuratezza 81,70% (79,35%); accuracy ratio 87,94% (84,12%).</w:t>
      </w:r>
      <w:r>
        <w:t xml:space="preserve"> </w:t>
      </w:r>
      <w:hyperlink r:id="rId26">
        <w:r>
          <w:rPr>
            <w:rStyle w:val="Hyperlink"/>
          </w:rPr>
          <w:t xml:space="preserve">[42]</w:t>
        </w:r>
      </w:hyperlink>
      <w:r>
        <w:br/>
      </w:r>
      <w:r>
        <w:t xml:space="preserve">- Costruzioni &amp; Real Estate: Type I 8,89% (10,12%); Type II 26,02% (28,24%); accuratezza 82,55% (80,82%); accuracy ratio 91,11% (89,86%).</w:t>
      </w:r>
      <w:r>
        <w:t xml:space="preserve"> </w:t>
      </w:r>
      <w:hyperlink r:id="rId26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b/>
          <w:bCs/>
        </w:rPr>
        <w:t xml:space="preserve">Mappatura a rating e PD:</w:t>
      </w:r>
      <w:r>
        <w:t xml:space="preserve"> </w:t>
      </w:r>
      <w:r>
        <w:t xml:space="preserve">lo studio introduce i Bond Rating Equivalents (BRE) confrontando i punteggi logistici con profili medi di rating entity["company","Standard &amp; Poor's","credit ratings"], e collega BRE a probabilità di default usando matrici di “mortality rates” (periodo 1971–2015; 2.903 emissioni) e un esempio di PD 1‑anno e 3‑anni per classe BRE.</w:t>
      </w:r>
      <w:r>
        <w:t xml:space="preserve"> </w:t>
      </w:r>
      <w:hyperlink r:id="rId26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rPr>
          <w:b/>
          <w:bCs/>
        </w:rPr>
        <w:t xml:space="preserve">Commento critico:</w:t>
      </w:r>
      <w:r>
        <w:t xml:space="preserve"> </w:t>
      </w:r>
      <w:r>
        <w:t xml:space="preserve">rispetto agli Z-score “canonici”, qui l’innovazione è duplice: (i) stima</w:t>
      </w:r>
      <w:r>
        <w:t xml:space="preserve"> </w:t>
      </w:r>
      <w:r>
        <w:rPr>
          <w:b/>
          <w:bCs/>
        </w:rPr>
        <w:t xml:space="preserve">probabilistica</w:t>
      </w:r>
      <w:r>
        <w:t xml:space="preserve"> </w:t>
      </w:r>
      <w:r>
        <w:t xml:space="preserve">(logit) invece di sola separazione discriminante; (ii) modello</w:t>
      </w:r>
      <w:r>
        <w:t xml:space="preserve"> </w:t>
      </w:r>
      <w:r>
        <w:rPr>
          <w:b/>
          <w:bCs/>
        </w:rPr>
        <w:t xml:space="preserve">settoriale</w:t>
      </w:r>
      <w:r>
        <w:t xml:space="preserve"> </w:t>
      </w:r>
      <w:r>
        <w:t xml:space="preserve">per ridurre il bias da rotazione/asset turnover. Rimane centrale la disponibilità/qualità di dati storici su default e una validazione “out‑of‑time” (oltre all’hold‑out) per stressare stabilità intertemporale.</w:t>
      </w:r>
      <w:r>
        <w:t xml:space="preserve"> </w:t>
      </w:r>
      <w:hyperlink r:id="rId26">
        <w:r>
          <w:rPr>
            <w:rStyle w:val="Hyperlink"/>
          </w:rPr>
          <w:t xml:space="preserve">[46]</w:t>
        </w:r>
      </w:hyperlink>
    </w:p>
    <w:bookmarkEnd w:id="32"/>
    <w:bookmarkStart w:id="34" w:name="Xadc13eec2d3d985587f8e09a1bbb35e1bcd9d6b"/>
    <w:p>
      <w:pPr>
        <w:pStyle w:val="Heading3"/>
      </w:pPr>
      <w:r>
        <w:t xml:space="preserve">Revisione post‑pandemica e integrazione con sistemi di allerta (Italia, 2022)</w:t>
      </w:r>
    </w:p>
    <w:p>
      <w:pPr>
        <w:pStyle w:val="FirstParagraph"/>
      </w:pPr>
      <w:r>
        <w:rPr>
          <w:b/>
          <w:bCs/>
        </w:rPr>
        <w:t xml:space="preserve">Autori:</w:t>
      </w:r>
      <w:r>
        <w:t xml:space="preserve"> </w:t>
      </w:r>
      <w:r>
        <w:t xml:space="preserve">Federico Beltrame</w:t>
      </w:r>
      <w:hyperlink r:id="rId21">
        <w:r>
          <w:rPr>
            <w:rStyle w:val="Hyperlink"/>
          </w:rPr>
          <w:t xml:space="preserve">[47]</w:t>
        </w:r>
      </w:hyperlink>
      <w:r>
        <w:t xml:space="preserve">, Giulio Velliscig</w:t>
      </w:r>
      <w:hyperlink r:id="rId33">
        <w:r>
          <w:rPr>
            <w:rStyle w:val="Hyperlink"/>
          </w:rPr>
          <w:t xml:space="preserve">[48]</w:t>
        </w:r>
      </w:hyperlink>
      <w:r>
        <w:t xml:space="preserve">, Gianni Zorzi</w:t>
      </w:r>
      <w:hyperlink r:id="rId21">
        <w:r>
          <w:rPr>
            <w:rStyle w:val="Hyperlink"/>
          </w:rPr>
          <w:t xml:space="preserve">[49]</w:t>
        </w:r>
      </w:hyperlink>
      <w:r>
        <w:t xml:space="preserve">, Maurizio Polato</w:t>
      </w:r>
      <w:hyperlink r:id="rId21">
        <w:r>
          <w:rPr>
            <w:rStyle w:val="Hyperlink"/>
          </w:rPr>
          <w:t xml:space="preserve">[50]</w:t>
        </w:r>
      </w:hyperlink>
      <w:r>
        <w:t xml:space="preserve">.</w:t>
      </w:r>
      <w:r>
        <w:t xml:space="preserve"> </w:t>
      </w:r>
      <w:hyperlink r:id="rId27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rPr>
          <w:b/>
          <w:bCs/>
        </w:rPr>
        <w:t xml:space="preserve">Dataset (periodo, dimensione, fonte):</w:t>
      </w:r>
      <w:r>
        <w:t xml:space="preserve"> </w:t>
      </w:r>
      <w:r>
        <w:t xml:space="preserve">dati annuali (2015–2019) da AIDA (Bureau van Dijk</w:t>
      </w:r>
      <w:hyperlink r:id="rId21">
        <w:r>
          <w:rPr>
            <w:rStyle w:val="Hyperlink"/>
          </w:rPr>
          <w:t xml:space="preserve">[52]</w:t>
        </w:r>
      </w:hyperlink>
      <w:r>
        <w:t xml:space="preserve">) su un campione di PMI italiane dichiarato come “casual sample”; nel testo compare un refuso (“83”) ma la composizione indicata è</w:t>
      </w:r>
      <w:r>
        <w:t xml:space="preserve"> </w:t>
      </w:r>
      <w:r>
        <w:rPr>
          <w:b/>
          <w:bCs/>
        </w:rPr>
        <w:t xml:space="preserve">43 viable + 43 non‑viable</w:t>
      </w:r>
      <w:r>
        <w:t xml:space="preserve">, cioè</w:t>
      </w:r>
      <w:r>
        <w:t xml:space="preserve"> </w:t>
      </w:r>
      <w:r>
        <w:rPr>
          <w:b/>
          <w:bCs/>
        </w:rPr>
        <w:t xml:space="preserve">86</w:t>
      </w:r>
      <w:r>
        <w:t xml:space="preserve"> </w:t>
      </w:r>
      <w:r>
        <w:t xml:space="preserve">imprese.</w:t>
      </w:r>
      <w:r>
        <w:t xml:space="preserve"> </w:t>
      </w:r>
      <w:hyperlink r:id="rId27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rPr>
          <w:b/>
          <w:bCs/>
        </w:rPr>
        <w:t xml:space="preserve">Disegno di confronto:</w:t>
      </w:r>
      <w:r>
        <w:t xml:space="preserve"> </w:t>
      </w:r>
      <w:r>
        <w:t xml:space="preserve">confronto ex‑post tra “alert system” italiano del Consiglio Nazionale dei Dottori Commercialisti e degli Esperti Contabili</w:t>
      </w:r>
      <w:hyperlink r:id="rId21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e Z‑score; applicazione di Z’ (manifattura, Ateco 2007 sezione C) e Z’’ (altri settori).</w:t>
      </w:r>
      <w:r>
        <w:t xml:space="preserve"> </w:t>
      </w:r>
      <w:hyperlink r:id="rId27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rPr>
          <w:b/>
          <w:bCs/>
        </w:rPr>
        <w:t xml:space="preserve">Formule riportate e usate nel confronto: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717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847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,</m:t>
          </m:r>
          <m:r>
            <m:t>107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420</m:t>
          </m:r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998</m:t>
          </m:r>
          <m:sSub>
            <m:e>
              <m:r>
                <m:t>X</m:t>
              </m:r>
            </m:e>
            <m:sub>
              <m:r>
                <m:t>5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″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25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,</m:t>
          </m:r>
          <m:r>
            <m:t>56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,</m:t>
          </m:r>
          <m:r>
            <m:t>26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,</m:t>
          </m:r>
          <m:r>
            <m:t>72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05</m:t>
          </m:r>
          <m:sSub>
            <m:e>
              <m:r>
                <m:t>X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t xml:space="preserve">con definizioni delle variabili coerenti con la letteratura Altman (working capital/TA, retained earnings/TA, EBIT/TA, equity/total liabilities; e sales/TA per Z’).</w:t>
      </w:r>
      <w:r>
        <w:t xml:space="preserve"> </w:t>
      </w:r>
      <w:hyperlink r:id="rId27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rPr>
          <w:b/>
          <w:bCs/>
        </w:rPr>
        <w:t xml:space="preserve">Metodologia di revisione:</w:t>
      </w:r>
      <w:r>
        <w:t xml:space="preserve"> </w:t>
      </w:r>
      <w:r>
        <w:t xml:space="preserve">costruzione di funzioni discriminanti “aggiornate” (Z</w:t>
      </w:r>
      <w:r>
        <w:t xml:space="preserve"> </w:t>
      </w:r>
      <w:r>
        <w:rPr>
          <w:i/>
          <w:iCs/>
        </w:rPr>
        <w:t xml:space="preserve">e Z</w:t>
      </w:r>
      <w:r>
        <w:t xml:space="preserve">*) usando software DTREG per ricalcolare coefficienti e cut‑off; valutazione tramite confusion matrix e confronti di corrette classificazioni.</w:t>
      </w:r>
      <w:r>
        <w:t xml:space="preserve"> </w:t>
      </w:r>
      <w:hyperlink r:id="rId27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rPr>
          <w:b/>
          <w:bCs/>
        </w:rPr>
        <w:t xml:space="preserve">Performance riportate (in termini di corretta classificazione):</w:t>
      </w:r>
      <w:r>
        <w:br/>
      </w:r>
      <w:r>
        <w:t xml:space="preserve">- per le non‑viable: Z‑score identifica correttamente</w:t>
      </w:r>
      <w:r>
        <w:t xml:space="preserve"> </w:t>
      </w:r>
      <w:r>
        <w:rPr>
          <w:b/>
          <w:bCs/>
        </w:rPr>
        <w:t xml:space="preserve">41/43</w:t>
      </w:r>
      <w:r>
        <w:t xml:space="preserve"> </w:t>
      </w:r>
      <w:r>
        <w:t xml:space="preserve">l’anno prima del fallimento vs alert system</w:t>
      </w:r>
      <w:r>
        <w:t xml:space="preserve"> </w:t>
      </w:r>
      <w:r>
        <w:rPr>
          <w:b/>
          <w:bCs/>
        </w:rPr>
        <w:t xml:space="preserve">33/43</w:t>
      </w:r>
      <w:r>
        <w:t xml:space="preserve">; inoltre è dichiarata maggiore rapidità media del segnale per Z‑score.</w:t>
      </w:r>
      <w:r>
        <w:t xml:space="preserve"> </w:t>
      </w:r>
      <w:hyperlink r:id="rId27">
        <w:r>
          <w:rPr>
            <w:rStyle w:val="Hyperlink"/>
          </w:rPr>
          <w:t xml:space="preserve">[51]</w:t>
        </w:r>
      </w:hyperlink>
      <w:r>
        <w:br/>
      </w:r>
      <w:r>
        <w:t xml:space="preserve">- Z</w:t>
      </w:r>
      <w:r>
        <w:t xml:space="preserve"> </w:t>
      </w:r>
      <w:r>
        <w:rPr>
          <w:b/>
          <w:bCs/>
        </w:rPr>
        <w:t xml:space="preserve">(versione NCCAAE del Z‑score) classifica correttamente</w:t>
      </w:r>
      <w:r>
        <w:t xml:space="preserve"> </w:t>
      </w:r>
      <w:r>
        <w:t xml:space="preserve">78/86</w:t>
      </w:r>
      <w:r>
        <w:rPr>
          <w:b/>
          <w:bCs/>
        </w:rPr>
        <w:t xml:space="preserve">; la nuova misura (alert system + Z</w:t>
      </w:r>
      <w:r>
        <w:t xml:space="preserve">) classifica correttamente</w:t>
      </w:r>
      <w:r>
        <w:t xml:space="preserve"> </w:t>
      </w:r>
      <w:r>
        <w:rPr>
          <w:b/>
          <w:bCs/>
        </w:rPr>
        <w:t xml:space="preserve">80/86</w:t>
      </w:r>
      <w:r>
        <w:t xml:space="preserve"> </w:t>
      </w:r>
      <w:r>
        <w:t xml:space="preserve">e identifica come non‑viable</w:t>
      </w:r>
      <w:r>
        <w:t xml:space="preserve"> </w:t>
      </w:r>
      <w:r>
        <w:rPr>
          <w:b/>
          <w:bCs/>
        </w:rPr>
        <w:t xml:space="preserve">41/43</w:t>
      </w:r>
      <w:r>
        <w:t xml:space="preserve">.</w:t>
      </w:r>
      <w:r>
        <w:t xml:space="preserve"> </w:t>
      </w:r>
      <w:hyperlink r:id="rId27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rPr>
          <w:b/>
          <w:bCs/>
        </w:rPr>
        <w:t xml:space="preserve">Dati non specificati:</w:t>
      </w:r>
      <w:r>
        <w:t xml:space="preserve"> </w:t>
      </w:r>
      <w:r>
        <w:t xml:space="preserve">nella versione disponibile risultano presenti placeholder (“Please insert Table …”), per cui i coefficienti numerici di Z</w:t>
      </w:r>
      <w:r>
        <w:t xml:space="preserve"> </w:t>
      </w:r>
      <w:r>
        <w:rPr>
          <w:i/>
          <w:iCs/>
        </w:rPr>
        <w:t xml:space="preserve">e Z</w:t>
      </w:r>
      <w:r>
        <w:t xml:space="preserve">* e i cut‑off finali non sono integralmente ricostruibili dal testo mostrato.</w:t>
      </w:r>
      <w:r>
        <w:t xml:space="preserve"> </w:t>
      </w:r>
      <w:hyperlink r:id="rId27">
        <w:r>
          <w:rPr>
            <w:rStyle w:val="Hyperlink"/>
          </w:rPr>
          <w:t xml:space="preserve">[51]</w:t>
        </w:r>
      </w:hyperlink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A[Dati di bilancio] --&gt; B[Scelta modello (Z, Z', Z'', EM o variante IT)]</w:t>
      </w:r>
      <w:r>
        <w:br/>
      </w:r>
      <w:r>
        <w:rPr>
          <w:rStyle w:val="VerbatimChar"/>
        </w:rPr>
        <w:t xml:space="preserve">B --&gt; C[Calcolo ratio X (e riclassificazioni)]</w:t>
      </w:r>
      <w:r>
        <w:br/>
      </w:r>
      <w:r>
        <w:rPr>
          <w:rStyle w:val="VerbatimChar"/>
        </w:rPr>
        <w:t xml:space="preserve">C --&gt; D[Applicazione formula / score]</w:t>
      </w:r>
      <w:r>
        <w:br/>
      </w:r>
      <w:r>
        <w:rPr>
          <w:rStyle w:val="VerbatimChar"/>
        </w:rPr>
        <w:t xml:space="preserve">D --&gt; E[Classificazione o PD (se disponibile)]</w:t>
      </w:r>
      <w:r>
        <w:br/>
      </w:r>
      <w:r>
        <w:rPr>
          <w:rStyle w:val="VerbatimChar"/>
        </w:rPr>
        <w:t xml:space="preserve">E --&gt; F[Azioni: covenant, rating interno, monitoraggio, early warning]</w:t>
      </w:r>
    </w:p>
    <w:bookmarkEnd w:id="34"/>
    <w:bookmarkEnd w:id="35"/>
    <w:bookmarkStart w:id="36" w:name="tabella-comparativa-dei-modelli"/>
    <w:p>
      <w:pPr>
        <w:pStyle w:val="Heading2"/>
      </w:pPr>
      <w:r>
        <w:t xml:space="preserve">Tabella comparativa dei modelli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Autori</w:t>
            </w:r>
          </w:p>
        </w:tc>
        <w:tc>
          <w:tcPr/>
          <w:p>
            <w:pPr>
              <w:pStyle w:val="Compact"/>
            </w:pPr>
            <w:r>
              <w:t xml:space="preserve">Formula sintetica</w:t>
            </w:r>
          </w:p>
        </w:tc>
        <w:tc>
          <w:tcPr/>
          <w:p>
            <w:pPr>
              <w:pStyle w:val="Compact"/>
            </w:pPr>
            <w:r>
              <w:t xml:space="preserve">Ambito d’uso</w:t>
            </w:r>
          </w:p>
        </w:tc>
        <w:tc>
          <w:tcPr/>
          <w:p>
            <w:pPr>
              <w:pStyle w:val="Compact"/>
            </w:pPr>
            <w:r>
              <w:t xml:space="preserve">Vantaggi e limiti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Z-Score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1968</w:t>
            </w:r>
          </w:p>
        </w:tc>
        <w:tc>
          <w:tcPr/>
          <w:p>
            <w:pPr>
              <w:pStyle w:val="Compact"/>
            </w:pPr>
            <w:r>
              <w:t xml:space="preserve">Altman</w:t>
            </w:r>
          </w:p>
        </w:tc>
        <w:tc>
          <w:tcPr/>
          <w:p>
            <w:pPr>
              <w:pStyle w:val="Compact"/>
            </w:pPr>
            <w:r>
              <w:t xml:space="preserve">5 variabili (X1–X5) con X4 di mercato</w:t>
            </w:r>
          </w:p>
        </w:tc>
        <w:tc>
          <w:tcPr/>
          <w:p>
            <w:pPr>
              <w:pStyle w:val="Compact"/>
            </w:pPr>
            <w:r>
              <w:t xml:space="preserve">Manifatturiere quotate</w:t>
            </w:r>
          </w:p>
        </w:tc>
        <w:tc>
          <w:tcPr/>
          <w:p>
            <w:pPr>
              <w:pStyle w:val="Compact"/>
            </w:pPr>
            <w:r>
              <w:t xml:space="preserve">Semplice; ma richiede market value e soffre bias settoriale su X5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ZETA®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1977</w:t>
            </w:r>
          </w:p>
        </w:tc>
        <w:tc>
          <w:tcPr/>
          <w:p>
            <w:pPr>
              <w:pStyle w:val="Compact"/>
            </w:pPr>
            <w:r>
              <w:t xml:space="preserve">Altman, Haldeman, Narayanan</w:t>
            </w:r>
          </w:p>
        </w:tc>
        <w:tc>
          <w:tcPr/>
          <w:p>
            <w:pPr>
              <w:pStyle w:val="Compact"/>
            </w:pPr>
            <w:r>
              <w:t xml:space="preserve">Proprietario (parametri non divulgati integralmente)</w:t>
            </w:r>
          </w:p>
        </w:tc>
        <w:tc>
          <w:tcPr/>
          <w:p>
            <w:pPr>
              <w:pStyle w:val="Compact"/>
            </w:pPr>
            <w:r>
              <w:t xml:space="preserve">Corporate credit risk (storico)</w:t>
            </w:r>
          </w:p>
        </w:tc>
        <w:tc>
          <w:tcPr/>
          <w:p>
            <w:pPr>
              <w:pStyle w:val="Compact"/>
            </w:pPr>
            <w:r>
              <w:t xml:space="preserve">Prestazioni storiche elevate; replicabilità limitata per scarsa trasparenza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Z’-Score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Altman</w:t>
            </w:r>
          </w:p>
        </w:tc>
        <w:tc>
          <w:tcPr/>
          <w:p>
            <w:pPr>
              <w:pStyle w:val="Compact"/>
            </w:pPr>
            <w:r>
              <w:t xml:space="preserve">5 variabili; sostituisce X4 con equity contabile</w:t>
            </w:r>
          </w:p>
        </w:tc>
        <w:tc>
          <w:tcPr/>
          <w:p>
            <w:pPr>
              <w:pStyle w:val="Compact"/>
            </w:pPr>
            <w:r>
              <w:t xml:space="preserve">Manifatturiere non quotate</w:t>
            </w:r>
          </w:p>
        </w:tc>
        <w:tc>
          <w:tcPr/>
          <w:p>
            <w:pPr>
              <w:pStyle w:val="Compact"/>
            </w:pPr>
            <w:r>
              <w:t xml:space="preserve">Applicabile a private; richiede ricalibrazione, cut-off non universali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Z’’-Score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1995</w:t>
            </w:r>
          </w:p>
        </w:tc>
        <w:tc>
          <w:tcPr/>
          <w:p>
            <w:pPr>
              <w:pStyle w:val="Compact"/>
            </w:pPr>
            <w:r>
              <w:t xml:space="preserve">Altman; Hartzell &amp; Peck (applicazioni)</w:t>
            </w:r>
          </w:p>
        </w:tc>
        <w:tc>
          <w:tcPr/>
          <w:p>
            <w:pPr>
              <w:pStyle w:val="Compact"/>
            </w:pPr>
            <w:r>
              <w:t xml:space="preserve">4 variabili (X1–X4), senza X5</w:t>
            </w:r>
          </w:p>
        </w:tc>
        <w:tc>
          <w:tcPr/>
          <w:p>
            <w:pPr>
              <w:pStyle w:val="Compact"/>
            </w:pPr>
            <w:r>
              <w:t xml:space="preserve">Non manifatturiere e contesti internazionali</w:t>
            </w:r>
          </w:p>
        </w:tc>
        <w:tc>
          <w:tcPr/>
          <w:p>
            <w:pPr>
              <w:pStyle w:val="Compact"/>
            </w:pPr>
            <w:r>
              <w:t xml:space="preserve">Riduce bias settoriale; necessita tarature locali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EM-Score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1995/2002</w:t>
            </w:r>
          </w:p>
        </w:tc>
        <w:tc>
          <w:tcPr/>
          <w:p>
            <w:pPr>
              <w:pStyle w:val="Compact"/>
            </w:pPr>
            <w:r>
              <w:t xml:space="preserve">Altman; Hartzell &amp; Peck (applicazioni)</w:t>
            </w:r>
          </w:p>
        </w:tc>
        <w:tc>
          <w:tcPr/>
          <w:p>
            <w:pPr>
              <w:pStyle w:val="Compact"/>
            </w:pPr>
            <w:r>
              <w:t xml:space="preserve">Z’’ + 3,25</w:t>
            </w:r>
          </w:p>
        </w:tc>
        <w:tc>
          <w:tcPr/>
          <w:p>
            <w:pPr>
              <w:pStyle w:val="Compact"/>
            </w:pPr>
            <w:r>
              <w:t xml:space="preserve">Mercati emergenti; mapping a rating</w:t>
            </w:r>
          </w:p>
        </w:tc>
        <w:tc>
          <w:tcPr/>
          <w:p>
            <w:pPr>
              <w:pStyle w:val="Compact"/>
            </w:pPr>
            <w:r>
              <w:t xml:space="preserve">Interpretabile con rating equivalenti; dipende dalla qualità della mappatura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Z-PMI Italia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Bottani, Cipriani, Serao</w:t>
            </w:r>
          </w:p>
        </w:tc>
        <w:tc>
          <w:tcPr/>
          <w:p>
            <w:pPr>
              <w:pStyle w:val="Compact"/>
            </w:pPr>
            <w:r>
              <w:t xml:space="preserve">5 variabili “italianizzate” e nuovi pesi</w:t>
            </w:r>
          </w:p>
        </w:tc>
        <w:tc>
          <w:tcPr/>
          <w:p>
            <w:pPr>
              <w:pStyle w:val="Compact"/>
            </w:pPr>
            <w:r>
              <w:t xml:space="preserve">PMI manifatturiere italiane</w:t>
            </w:r>
          </w:p>
        </w:tc>
        <w:tc>
          <w:tcPr/>
          <w:p>
            <w:pPr>
              <w:pStyle w:val="Compact"/>
            </w:pPr>
            <w:r>
              <w:t xml:space="preserve">Coeff. stimati su dati IT; campione piccolo e settoriale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ZI-Score (logit settoriale)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2016/2020</w:t>
            </w:r>
          </w:p>
        </w:tc>
        <w:tc>
          <w:tcPr/>
          <w:p>
            <w:pPr>
              <w:pStyle w:val="Compact"/>
            </w:pPr>
            <w:r>
              <w:t xml:space="preserve">Altman, Esentato, Sabato</w:t>
            </w:r>
          </w:p>
        </w:tc>
        <w:tc>
          <w:tcPr/>
          <w:p>
            <w:pPr>
              <w:pStyle w:val="Compact"/>
            </w:pPr>
            <w:r>
              <w:t xml:space="preserve">4 modelli logit (6–8 variabili)</w:t>
            </w:r>
          </w:p>
        </w:tc>
        <w:tc>
          <w:tcPr/>
          <w:p>
            <w:pPr>
              <w:pStyle w:val="Compact"/>
            </w:pPr>
            <w:r>
              <w:t xml:space="preserve">PMI italiane + minibond</w:t>
            </w:r>
          </w:p>
        </w:tc>
        <w:tc>
          <w:tcPr/>
          <w:p>
            <w:pPr>
              <w:pStyle w:val="Compact"/>
            </w:pPr>
            <w:r>
              <w:t xml:space="preserve">Misure di errore e holdout; coefficienti settore‑specifici e complessità maggiore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</w:t>
            </w:r>
            <w:r>
              <w:t xml:space="preserve"> </w:t>
            </w:r>
            <w:r>
              <w:rPr>
                <w:i/>
                <w:iCs/>
              </w:rPr>
              <w:t xml:space="preserve">/ Z</w:t>
            </w:r>
            <w:r>
              <w:t xml:space="preserve">* + alert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Beltrame, Velliscig, Zorzi, Polato</w:t>
            </w:r>
          </w:p>
        </w:tc>
        <w:tc>
          <w:tcPr/>
          <w:p>
            <w:pPr>
              <w:pStyle w:val="Compact"/>
            </w:pPr>
            <w:r>
              <w:t xml:space="preserve">MDA re‑stimata su PMI IT + integrazione alert</w:t>
            </w:r>
          </w:p>
        </w:tc>
        <w:tc>
          <w:tcPr/>
          <w:p>
            <w:pPr>
              <w:pStyle w:val="Compact"/>
            </w:pPr>
            <w:r>
              <w:t xml:space="preserve">PMI italiane (2015–2019)</w:t>
            </w:r>
          </w:p>
        </w:tc>
        <w:tc>
          <w:tcPr/>
          <w:p>
            <w:pPr>
              <w:pStyle w:val="Compact"/>
            </w:pPr>
            <w:r>
              <w:t xml:space="preserve">Integra early warning; campione ridotto e tabelle/parametri non tutti visibili</w:t>
            </w:r>
          </w:p>
        </w:tc>
      </w:tr>
    </w:tbl>
    <w:p>
      <w:pPr>
        <w:pStyle w:val="BodyText"/>
      </w:pPr>
      <w:r>
        <w:t xml:space="preserve">Le formule e i vincoli d’uso dei modelli “canonici” (Z, Z’, Z’’, EM e ZETA) sono riportati nel documento 2002 e nei pannelli/tabelle associati.</w:t>
      </w:r>
      <w:r>
        <w:t xml:space="preserve"> </w:t>
      </w:r>
      <w:hyperlink r:id="rId21">
        <w:r>
          <w:rPr>
            <w:rStyle w:val="Hyperlink"/>
          </w:rPr>
          <w:t xml:space="preserve">[54]</w:t>
        </w:r>
      </w:hyperlink>
      <w:r>
        <w:br/>
      </w:r>
      <w:r>
        <w:t xml:space="preserve">Le varianti italiane provengono dalle rispettive fonti: PMI Italia (2004), ZI‑Score (2016/2020) e revisione (2022).</w:t>
      </w:r>
      <w:r>
        <w:t xml:space="preserve"> </w:t>
      </w:r>
      <w:hyperlink r:id="rId22">
        <w:r>
          <w:rPr>
            <w:rStyle w:val="Hyperlink"/>
          </w:rPr>
          <w:t xml:space="preserve">[55]</w:t>
        </w:r>
      </w:hyperlink>
    </w:p>
    <w:bookmarkEnd w:id="36"/>
    <w:bookmarkStart w:id="37" w:name="evidenza-comparata-e-studi-di-confronto"/>
    <w:p>
      <w:pPr>
        <w:pStyle w:val="Heading2"/>
      </w:pPr>
      <w:r>
        <w:t xml:space="preserve">Evidenza comparata e studi di confronto</w:t>
      </w:r>
    </w:p>
    <w:p>
      <w:pPr>
        <w:pStyle w:val="FirstParagraph"/>
      </w:pPr>
      <w:r>
        <w:t xml:space="preserve">Nel documento 2002, oltre alla formula, è presentata una tabella di accuratezza (Panel C) che confronta prestazioni del modello 1968 su campione originale, holdout e campioni storici, distinguendo tra 1 e 2 anni prima del failure e mostrando l’effetto del cutoff 2,67 vs 1,81 (tra parentesi). Questo è un esempio chiaro di come il parametro di classificazione sia parte integrante delle performance riportate.</w:t>
      </w:r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Nel blocco Italia‑PMI, il modello Bottani‑Cipriani‑Serao (2004) riporta un accurato esercizio di classificazione con correttezza 94% (bilanci 2000) e fornisce una procedura di verifica (t‑test) della significatività della hit ratio. È un caso “didattico” importante perché mostra l’effetto di riclassificazioni e definizioni contabili italiane sui ratio (es. uso di riserve legali/straordinarie).</w:t>
      </w:r>
      <w:r>
        <w:t xml:space="preserve"> </w:t>
      </w:r>
      <w:hyperlink r:id="rId22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t xml:space="preserve">Per le PMI italiane in chiave “mercato dei capitali”, il modello ZI‑Score (logit) pubblica, settore per settore, sia le metriche tradizionali (errori di I e II tipo) sia una metrica “tipo‑AUC” derivata da CAP (accuracy ratio), e soprattutto riporta risultati anche su hold‑out. La figura seguente sintetizza due indicatori chiave (accuratezza complessiva e accuracy ratio) nei quattro settori.</w:t>
      </w:r>
      <w:r>
        <w:t xml:space="preserve"> </w:t>
      </w:r>
      <w:hyperlink r:id="rId26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t xml:space="preserve">Infine, lo studio del 2022 combina Z-score e sistemi di allerta italiani mostrando un confronto diretto su confusion matrix: Z-score migliore sui non‑viable (41/43 vs 33/43) e una nuova misura integrata che raggiunge 80/86 corrette classificazioni nel campione (con i limiti di numerosità e di tabelle non pienamente visibili).</w:t>
      </w:r>
      <w:r>
        <w:t xml:space="preserve"> </w:t>
      </w:r>
      <w:hyperlink r:id="rId27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t xml:space="preserve">Come esempio di confronto “macro” e di utilizzo dei proxy Z-score in contesti istituzionali, un lavoro della Banca d'Italia</w:t>
      </w:r>
      <w:hyperlink r:id="rId21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confronta modelli (Distance‑to‑Default, Z‑scores e machine learning) e riporta misure di precision e false discovery rate per decili, evidenziando che approcci ML possono superare proxy come Z‑scores in specifici compiti (zombie/distress detection).</w:t>
      </w:r>
      <w:r>
        <w:t xml:space="preserve"> </w:t>
      </w:r>
      <w:hyperlink r:id="rId33">
        <w:r>
          <w:rPr>
            <w:rStyle w:val="Hyperlink"/>
          </w:rPr>
          <w:t xml:space="preserve">[57]</w:t>
        </w:r>
      </w:hyperlink>
    </w:p>
    <w:bookmarkEnd w:id="37"/>
    <w:bookmarkStart w:id="38" w:name="Xd91a0a9383f3dd30e992abc7bec4c1b9afb0514"/>
    <w:p>
      <w:pPr>
        <w:pStyle w:val="Heading2"/>
      </w:pPr>
      <w:r>
        <w:t xml:space="preserve">Limiti, trasferibilità e differenze tra quotate, non quotate, banche e PMI italiane</w:t>
      </w:r>
    </w:p>
    <w:p>
      <w:pPr>
        <w:pStyle w:val="FirstParagraph"/>
      </w:pPr>
      <w:r>
        <w:t xml:space="preserve">La principale differenza strutturale tra versioni per</w:t>
      </w:r>
      <w:r>
        <w:t xml:space="preserve"> </w:t>
      </w:r>
      <w:r>
        <w:rPr>
          <w:b/>
          <w:bCs/>
        </w:rPr>
        <w:t xml:space="preserve">quotate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non quotate</w:t>
      </w:r>
      <w:r>
        <w:t xml:space="preserve"> </w:t>
      </w:r>
      <w:r>
        <w:t xml:space="preserve">è la variabile</w:t>
      </w:r>
      <w:r>
        <w:t xml:space="preserve"> </w:t>
      </w:r>
      <w:r>
        <w:rPr>
          <w:b/>
          <w:bCs/>
        </w:rPr>
        <w:t xml:space="preserve">X4</w:t>
      </w:r>
      <w:r>
        <w:t xml:space="preserve">: nella versione 1968 è un rapporto che richiede la capitalizzazione di mercato; per imprese non quotate l’adattamento coerente è una ricalibrazione (Z’) che sostituisce la variabile e modifica anche i pesi. Questo evita proxy arbitrari, ma mantiene la dipendenza da definizioni contabili di equity e debito.</w:t>
      </w:r>
      <w:r>
        <w:t xml:space="preserve"> </w:t>
      </w:r>
      <w:hyperlink r:id="rId21">
        <w:r>
          <w:rPr>
            <w:rStyle w:val="Hyperlink"/>
          </w:rPr>
          <w:t xml:space="preserve">[58]</w:t>
        </w:r>
      </w:hyperlink>
    </w:p>
    <w:p>
      <w:pPr>
        <w:pStyle w:val="BodyText"/>
      </w:pPr>
      <w:r>
        <w:t xml:space="preserve">La differenza tra imprese</w:t>
      </w:r>
      <w:r>
        <w:t xml:space="preserve"> </w:t>
      </w:r>
      <w:r>
        <w:rPr>
          <w:b/>
          <w:bCs/>
        </w:rPr>
        <w:t xml:space="preserve">manifatturiere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non manifatturiere</w:t>
      </w:r>
      <w:r>
        <w:t xml:space="preserve"> </w:t>
      </w:r>
      <w:r>
        <w:t xml:space="preserve">è centrata su</w:t>
      </w:r>
      <w:r>
        <w:t xml:space="preserve"> </w:t>
      </w:r>
      <w:r>
        <w:rPr>
          <w:b/>
          <w:bCs/>
        </w:rPr>
        <w:t xml:space="preserve">X5 (Sales/TA)</w:t>
      </w:r>
      <w:r>
        <w:t xml:space="preserve">: la rotazione è fortemente settoriale e cross‑country; rimuoverla è la scelta esplicita che porta a Z’’ e al modello per mercati emergenti (con pesi modificati). Per l’Italia, questa scelta è particolarmente rilevante perché il tessuto produttivo è eterogeneo e l’asset turnover varia molto tra manifattura, servizi, costruzioni e real estate; infatti le ricalibrazioni italiane tendono a essere</w:t>
      </w:r>
      <w:r>
        <w:t xml:space="preserve"> </w:t>
      </w:r>
      <w:r>
        <w:rPr>
          <w:b/>
          <w:bCs/>
        </w:rPr>
        <w:t xml:space="preserve">settoriali</w:t>
      </w:r>
      <w:r>
        <w:t xml:space="preserve"> </w:t>
      </w:r>
      <w:r>
        <w:t xml:space="preserve">(ZI‑Score) o a segmentare per Ateco (revisione 2022).</w:t>
      </w:r>
      <w:r>
        <w:t xml:space="preserve"> </w:t>
      </w:r>
      <w:hyperlink r:id="rId21">
        <w:r>
          <w:rPr>
            <w:rStyle w:val="Hyperlink"/>
          </w:rPr>
          <w:t xml:space="preserve">[59]</w:t>
        </w:r>
      </w:hyperlink>
    </w:p>
    <w:p>
      <w:pPr>
        <w:pStyle w:val="BodyText"/>
      </w:pPr>
      <w:r>
        <w:t xml:space="preserve">Per le</w:t>
      </w:r>
      <w:r>
        <w:t xml:space="preserve"> </w:t>
      </w:r>
      <w:r>
        <w:rPr>
          <w:b/>
          <w:bCs/>
        </w:rPr>
        <w:t xml:space="preserve">banche</w:t>
      </w:r>
      <w:r>
        <w:t xml:space="preserve"> </w:t>
      </w:r>
      <w:r>
        <w:t xml:space="preserve">(e, in generale, intermediari finanziari) lo Z-score “classico” non è progettato: (i) la struttura di bilancio è dominata da attività/passività finanziarie, (ii) il concetto di “sales” e la lettura di working capital non sono economicamente omogenei alle imprese industriali, (iii) la leva è fisiologicamente diversa. Nelle fonti qui utilizzate lo Z-score è trattato come modello per imprese non finanziarie e i confronti “bancari” compaiono soprattutto come proxy nei test comparativi, non come calibrazione dedicata.</w:t>
      </w:r>
      <w:r>
        <w:t xml:space="preserve"> </w:t>
      </w:r>
      <w:hyperlink r:id="rId21">
        <w:r>
          <w:rPr>
            <w:rStyle w:val="Hyperlink"/>
          </w:rPr>
          <w:t xml:space="preserve">[60]</w:t>
        </w:r>
      </w:hyperlink>
    </w:p>
    <w:p>
      <w:pPr>
        <w:pStyle w:val="BodyText"/>
      </w:pPr>
      <w:r>
        <w:t xml:space="preserve">Per le</w:t>
      </w:r>
      <w:r>
        <w:t xml:space="preserve"> </w:t>
      </w:r>
      <w:r>
        <w:rPr>
          <w:b/>
          <w:bCs/>
        </w:rPr>
        <w:t xml:space="preserve">PMI italiane</w:t>
      </w:r>
      <w:r>
        <w:t xml:space="preserve">, due traiettorie risultano empiricamente più coerenti delle applicazioni “as‑is”:</w:t>
      </w:r>
      <w:r>
        <w:br/>
      </w:r>
      <w:r>
        <w:t xml:space="preserve">1) ricalibrazione MDA su campioni italiani omogenei (come nel modello 2004), che però richiede out‑of‑sample rigoroso;</w:t>
      </w:r>
      <w:r>
        <w:t xml:space="preserve"> </w:t>
      </w:r>
      <w:hyperlink r:id="rId22">
        <w:r>
          <w:rPr>
            <w:rStyle w:val="Hyperlink"/>
          </w:rPr>
          <w:t xml:space="preserve">[32]</w:t>
        </w:r>
      </w:hyperlink>
      <w:r>
        <w:br/>
      </w:r>
      <w:r>
        <w:t xml:space="preserve">2) modelli probabilistici logit settoriali (ZI‑Score) con misure di errore e hold‑out, che sono più vicini all’uso bancario/creditizio moderno e possono essere collegati a PD e linguaggio di rating via BRE.</w:t>
      </w:r>
      <w:r>
        <w:t xml:space="preserve"> </w:t>
      </w:r>
      <w:hyperlink r:id="rId26">
        <w:r>
          <w:rPr>
            <w:rStyle w:val="Hyperlink"/>
          </w:rPr>
          <w:t xml:space="preserve">[61]</w:t>
        </w:r>
      </w:hyperlink>
    </w:p>
    <w:p>
      <w:pPr>
        <w:pStyle w:val="BodyText"/>
      </w:pPr>
      <w:r>
        <w:t xml:space="preserve">In conclusione, l’evoluzione storica dei modelli Altman può essere letta come un progressivo spostamento da “un solo modello per tutti” a (i)</w:t>
      </w:r>
      <w:r>
        <w:t xml:space="preserve"> </w:t>
      </w:r>
      <w:r>
        <w:rPr>
          <w:b/>
          <w:bCs/>
        </w:rPr>
        <w:t xml:space="preserve">segmentazione per popolazione (quotate/non quotate)</w:t>
      </w:r>
      <w:r>
        <w:t xml:space="preserve">, (ii)</w:t>
      </w:r>
      <w:r>
        <w:t xml:space="preserve"> </w:t>
      </w:r>
      <w:r>
        <w:rPr>
          <w:b/>
          <w:bCs/>
        </w:rPr>
        <w:t xml:space="preserve">robustezza settoriale (rimozione di X5)</w:t>
      </w:r>
      <w:r>
        <w:t xml:space="preserve">, (iii)</w:t>
      </w:r>
      <w:r>
        <w:t xml:space="preserve"> </w:t>
      </w:r>
      <w:r>
        <w:rPr>
          <w:b/>
          <w:bCs/>
        </w:rPr>
        <w:t xml:space="preserve">interpretabilità di mercato</w:t>
      </w:r>
      <w:r>
        <w:t xml:space="preserve"> </w:t>
      </w:r>
      <w:r>
        <w:t xml:space="preserve">(rating equivalence e PD), fino alle ricalibrazioni locali e alle integrazioni con framework normativi di early warning (caso Italia 2022).</w:t>
      </w:r>
      <w:r>
        <w:t xml:space="preserve"> </w:t>
      </w:r>
      <w:hyperlink r:id="rId21">
        <w:r>
          <w:rPr>
            <w:rStyle w:val="Hyperlink"/>
          </w:rPr>
          <w:t xml:space="preserve">[62]</w:t>
        </w:r>
      </w:hyperlink>
    </w:p>
    <w:bookmarkEnd w:id="38"/>
    <w:bookmarkEnd w:id="39"/>
    <w:bookmarkEnd w:id="40"/>
    <w:p>
      <w:r>
        <w:pict>
          <v:rect style="width:0;height:1.5pt" o:hralign="center" o:hrstd="t" o:hr="t"/>
        </w:pict>
      </w:r>
    </w:p>
    <w:bookmarkStart w:id="4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  <w:r>
        <w:t xml:space="preserve"> </w:t>
      </w:r>
      <w:hyperlink r:id="rId21">
        <w:r>
          <w:rPr>
            <w:rStyle w:val="Hyperlink"/>
          </w:rPr>
          <w:t xml:space="preserve">[25]</w:t>
        </w:r>
      </w:hyperlink>
      <w:r>
        <w:t xml:space="preserve"> </w:t>
      </w:r>
      <w:hyperlink r:id="rId21">
        <w:r>
          <w:rPr>
            <w:rStyle w:val="Hyperlink"/>
          </w:rPr>
          <w:t xml:space="preserve">[26]</w:t>
        </w:r>
      </w:hyperlink>
      <w:r>
        <w:t xml:space="preserve"> </w:t>
      </w:r>
      <w:hyperlink r:id="rId21">
        <w:r>
          <w:rPr>
            <w:rStyle w:val="Hyperlink"/>
          </w:rPr>
          <w:t xml:space="preserve">[27]</w:t>
        </w:r>
      </w:hyperlink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  <w:r>
        <w:t xml:space="preserve"> </w:t>
      </w:r>
      <w:hyperlink r:id="rId21">
        <w:r>
          <w:rPr>
            <w:rStyle w:val="Hyperlink"/>
          </w:rPr>
          <w:t xml:space="preserve">[34]</w:t>
        </w:r>
      </w:hyperlink>
      <w:r>
        <w:t xml:space="preserve"> </w:t>
      </w:r>
      <w:hyperlink r:id="rId21">
        <w:r>
          <w:rPr>
            <w:rStyle w:val="Hyperlink"/>
          </w:rPr>
          <w:t xml:space="preserve">[39]</w:t>
        </w:r>
      </w:hyperlink>
      <w:r>
        <w:t xml:space="preserve"> </w:t>
      </w:r>
      <w:hyperlink r:id="rId21">
        <w:r>
          <w:rPr>
            <w:rStyle w:val="Hyperlink"/>
          </w:rPr>
          <w:t xml:space="preserve">[43]</w:t>
        </w:r>
      </w:hyperlink>
      <w:r>
        <w:t xml:space="preserve"> </w:t>
      </w:r>
      <w:hyperlink r:id="rId21">
        <w:r>
          <w:rPr>
            <w:rStyle w:val="Hyperlink"/>
          </w:rPr>
          <w:t xml:space="preserve">[47]</w:t>
        </w:r>
      </w:hyperlink>
      <w:r>
        <w:t xml:space="preserve"> </w:t>
      </w:r>
      <w:hyperlink r:id="rId21">
        <w:r>
          <w:rPr>
            <w:rStyle w:val="Hyperlink"/>
          </w:rPr>
          <w:t xml:space="preserve">[49]</w:t>
        </w:r>
      </w:hyperlink>
      <w:r>
        <w:t xml:space="preserve"> </w:t>
      </w:r>
      <w:hyperlink r:id="rId21">
        <w:r>
          <w:rPr>
            <w:rStyle w:val="Hyperlink"/>
          </w:rPr>
          <w:t xml:space="preserve">[50]</w:t>
        </w:r>
      </w:hyperlink>
      <w:r>
        <w:t xml:space="preserve"> </w:t>
      </w:r>
      <w:hyperlink r:id="rId21">
        <w:r>
          <w:rPr>
            <w:rStyle w:val="Hyperlink"/>
          </w:rPr>
          <w:t xml:space="preserve">[52]</w:t>
        </w:r>
      </w:hyperlink>
      <w:r>
        <w:t xml:space="preserve"> </w:t>
      </w:r>
      <w:hyperlink r:id="rId21">
        <w:r>
          <w:rPr>
            <w:rStyle w:val="Hyperlink"/>
          </w:rPr>
          <w:t xml:space="preserve">[53]</w:t>
        </w:r>
      </w:hyperlink>
      <w:r>
        <w:t xml:space="preserve"> </w:t>
      </w:r>
      <w:hyperlink r:id="rId21">
        <w:r>
          <w:rPr>
            <w:rStyle w:val="Hyperlink"/>
          </w:rPr>
          <w:t xml:space="preserve">[54]</w:t>
        </w:r>
      </w:hyperlink>
      <w:r>
        <w:t xml:space="preserve"> </w:t>
      </w:r>
      <w:hyperlink r:id="rId21">
        <w:r>
          <w:rPr>
            <w:rStyle w:val="Hyperlink"/>
          </w:rPr>
          <w:t xml:space="preserve">[56]</w:t>
        </w:r>
      </w:hyperlink>
      <w:r>
        <w:t xml:space="preserve"> </w:t>
      </w:r>
      <w:hyperlink r:id="rId21">
        <w:r>
          <w:rPr>
            <w:rStyle w:val="Hyperlink"/>
          </w:rPr>
          <w:t xml:space="preserve">[58]</w:t>
        </w:r>
      </w:hyperlink>
      <w:r>
        <w:t xml:space="preserve"> </w:t>
      </w:r>
      <w:hyperlink r:id="rId21">
        <w:r>
          <w:rPr>
            <w:rStyle w:val="Hyperlink"/>
          </w:rPr>
          <w:t xml:space="preserve">[59]</w:t>
        </w:r>
      </w:hyperlink>
      <w:r>
        <w:t xml:space="preserve"> </w:t>
      </w:r>
      <w:hyperlink r:id="rId21">
        <w:r>
          <w:rPr>
            <w:rStyle w:val="Hyperlink"/>
          </w:rPr>
          <w:t xml:space="preserve">[60]</w:t>
        </w:r>
      </w:hyperlink>
      <w:r>
        <w:t xml:space="preserve"> </w:t>
      </w:r>
      <w:hyperlink r:id="rId21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https://web-docs.stern.nyu.edu/salomon/docs/S-02-11.pdf</w:t>
      </w:r>
    </w:p>
    <w:p>
      <w:pPr>
        <w:pStyle w:val="BodyText"/>
      </w:pPr>
      <w:hyperlink r:id="rId21">
        <w:r>
          <w:rPr>
            <w:rStyle w:val="Hyperlink"/>
          </w:rPr>
          <w:t xml:space="preserve">https://web-docs.stern.nyu.edu/salomon/docs/S-02-11.pdf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  <w:r>
        <w:t xml:space="preserve"> </w:t>
      </w:r>
      <w:hyperlink r:id="rId22">
        <w:r>
          <w:rPr>
            <w:rStyle w:val="Hyperlink"/>
          </w:rPr>
          <w:t xml:space="preserve">[30]</w:t>
        </w:r>
      </w:hyperlink>
      <w:r>
        <w:t xml:space="preserve"> </w:t>
      </w:r>
      <w:hyperlink r:id="rId22">
        <w:r>
          <w:rPr>
            <w:rStyle w:val="Hyperlink"/>
          </w:rPr>
          <w:t xml:space="preserve">[31]</w:t>
        </w:r>
      </w:hyperlink>
      <w:r>
        <w:t xml:space="preserve"> </w:t>
      </w:r>
      <w:hyperlink r:id="rId22">
        <w:r>
          <w:rPr>
            <w:rStyle w:val="Hyperlink"/>
          </w:rPr>
          <w:t xml:space="preserve">[32]</w:t>
        </w:r>
      </w:hyperlink>
      <w:r>
        <w:t xml:space="preserve"> </w:t>
      </w:r>
      <w:hyperlink r:id="rId22">
        <w:r>
          <w:rPr>
            <w:rStyle w:val="Hyperlink"/>
          </w:rPr>
          <w:t xml:space="preserve">[33]</w:t>
        </w:r>
      </w:hyperlink>
      <w:r>
        <w:t xml:space="preserve"> </w:t>
      </w:r>
      <w:hyperlink r:id="rId22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https://www.to.camcom.it/sites/default/files/promozione-territorio/I_25.pdf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https://www.to.camcom.it/sites/default/files/promozione-territorio/I_25.pdf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hyperlink r:id="rId23">
        <w:r>
          <w:rPr>
            <w:rStyle w:val="Hyperlink"/>
          </w:rPr>
          <w:t xml:space="preserve">[35]</w:t>
        </w:r>
      </w:hyperlink>
      <w:r>
        <w:t xml:space="preserve"> </w:t>
      </w:r>
      <w:hyperlink r:id="rId23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https://www.bancaria.it/la-previsione-dell-insolvenza-l-applicazione-dello-z-score-alle-imprese-in-amministrazione-straordinaria/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https://www.bancaria.it/la-previsione-dell-insolvenza-l-applicazione-dello-z-score-alle-imprese-in-amministrazione-straordinaria/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[13]</w:t>
        </w:r>
      </w:hyperlink>
      <w:r>
        <w:t xml:space="preserve"> </w:t>
      </w:r>
      <w:hyperlink r:id="rId26">
        <w:r>
          <w:rPr>
            <w:rStyle w:val="Hyperlink"/>
          </w:rPr>
          <w:t xml:space="preserve">[40]</w:t>
        </w:r>
      </w:hyperlink>
      <w:r>
        <w:t xml:space="preserve"> </w:t>
      </w:r>
      <w:hyperlink r:id="rId26">
        <w:r>
          <w:rPr>
            <w:rStyle w:val="Hyperlink"/>
          </w:rPr>
          <w:t xml:space="preserve">[41]</w:t>
        </w:r>
      </w:hyperlink>
      <w:r>
        <w:t xml:space="preserve"> </w:t>
      </w:r>
      <w:hyperlink r:id="rId26">
        <w:r>
          <w:rPr>
            <w:rStyle w:val="Hyperlink"/>
          </w:rPr>
          <w:t xml:space="preserve">[42]</w:t>
        </w:r>
      </w:hyperlink>
      <w:r>
        <w:t xml:space="preserve"> </w:t>
      </w:r>
      <w:hyperlink r:id="rId26">
        <w:r>
          <w:rPr>
            <w:rStyle w:val="Hyperlink"/>
          </w:rPr>
          <w:t xml:space="preserve">[44]</w:t>
        </w:r>
      </w:hyperlink>
      <w:r>
        <w:t xml:space="preserve"> </w:t>
      </w:r>
      <w:hyperlink r:id="rId26">
        <w:r>
          <w:rPr>
            <w:rStyle w:val="Hyperlink"/>
          </w:rPr>
          <w:t xml:space="preserve">[45]</w:t>
        </w:r>
      </w:hyperlink>
      <w:r>
        <w:t xml:space="preserve"> </w:t>
      </w:r>
      <w:hyperlink r:id="rId26">
        <w:r>
          <w:rPr>
            <w:rStyle w:val="Hyperlink"/>
          </w:rPr>
          <w:t xml:space="preserve">[46]</w:t>
        </w:r>
      </w:hyperlink>
      <w:r>
        <w:t xml:space="preserve"> </w:t>
      </w:r>
      <w:hyperlink r:id="rId26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https://www.greta.it/old/credit/credit2016/PAPERS/Friday/02_Altman_Esentato_Sabato.pdf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https://www.greta.it/old/credit/credit2016/PAPERS/Friday/02_Altman_Esentato_Sabato.pdf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[14]</w:t>
        </w:r>
      </w:hyperlink>
      <w:r>
        <w:t xml:space="preserve"> </w:t>
      </w:r>
      <w:hyperlink r:id="rId27">
        <w:r>
          <w:rPr>
            <w:rStyle w:val="Hyperlink"/>
          </w:rPr>
          <w:t xml:space="preserve">[38]</w:t>
        </w:r>
      </w:hyperlink>
      <w:r>
        <w:t xml:space="preserve"> </w:t>
      </w:r>
      <w:hyperlink r:id="rId27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https://www.unive.it/web/fileadmin/user_upload/dipartimenti/DMAN/pubblicazioni_scientifiche/working_papers/2022/2022wp09.pdf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https://www.unive.it/web/fileadmin/user_upload/dipartimenti/DMAN/pubblicazioni_scientifiche/working_papers/2022/2022wp09.pdf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https://www.studocu.com/en-ca/document/royal-roads-university/financial-accounting/z-score-models-application-to/9384925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https://www.studocu.com/en-ca/document/royal-roads-university/financial-accounting/z-score-models-application-to/9384925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[48]</w:t>
        </w:r>
      </w:hyperlink>
      <w:r>
        <w:t xml:space="preserve"> </w:t>
      </w:r>
      <w:hyperlink r:id="rId33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https://www.bancaditalia.it/pubblicazioni/altri-atti-convegni/2020-bi-frb-nontraditional-data/bargagli_stoffi_paper.pdf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https://www.bancaditalia.it/pubblicazioni/altri-atti-convegni/2020-bi-frb-nontraditional-data/bargagli_stoffi_paper.pdf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26" Type="http://schemas.openxmlformats.org/officeDocument/2006/relationships/hyperlink" Target="https://www.greta.it/old/credit/credit2016/PAPERS/Friday/02_Altman_Esentato_Sabato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eb-docs.stern.nyu.edu/salomon/docs/S-02-11.pdf" TargetMode="External"/><Relationship Id="rId34" Type="http://schemas.openxmlformats.org/officeDocument/2006/relationships/customXml" Target="../customXml/item1.xml"/><Relationship Id="rId7" Type="http://schemas.openxmlformats.org/officeDocument/2006/relationships/footnotes" Target="footnotes.xml"/><Relationship Id="rId33" Type="http://schemas.openxmlformats.org/officeDocument/2006/relationships/hyperlink" Target="https://www.bancaditalia.it/pubblicazioni/altri-atti-convegni/2020-bi-frb-nontraditional-data/bargagli_stoffi_paper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23" Type="http://schemas.openxmlformats.org/officeDocument/2006/relationships/hyperlink" Target="https://www.bancaria.it/la-previsione-dell-insolvenza-l-applicazione-dello-z-score-alle-imprese-in-amministrazione-straordinaria/" TargetMode="External"/><Relationship Id="rId36" Type="http://schemas.openxmlformats.org/officeDocument/2006/relationships/customXml" Target="../customXml/item3.xml"/><Relationship Id="rId4" Type="http://schemas.openxmlformats.org/officeDocument/2006/relationships/webSettings" Target="webSettings.xml"/><Relationship Id="rId30" Type="http://schemas.openxmlformats.org/officeDocument/2006/relationships/hyperlink" Target="https://www.studocu.com/en-ca/document/royal-roads-university/financial-accounting/z-score-models-application-to/9384925" TargetMode="External"/><Relationship Id="rId22" Type="http://schemas.openxmlformats.org/officeDocument/2006/relationships/hyperlink" Target="https://www.to.camcom.it/sites/default/files/promozione-territorio/I_25.pdf" TargetMode="External"/><Relationship Id="rId27" Type="http://schemas.openxmlformats.org/officeDocument/2006/relationships/hyperlink" Target="https://www.unive.it/web/fileadmin/user_upload/dipartimenti/DMAN/pubblicazioni_scientifiche/working_papers/2022/2022wp09.pdf" TargetMode="External"/><Relationship Id="rId35" Type="http://schemas.openxmlformats.org/officeDocument/2006/relationships/customXml" Target="../customXml/item2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eb-docs.stern.nyu.edu/salomon/docs/S-02-11.pdf" TargetMode="External" /><Relationship Type="http://schemas.openxmlformats.org/officeDocument/2006/relationships/hyperlink" Id="rId33" Target="https://www.bancaditalia.it/pubblicazioni/altri-atti-convegni/2020-bi-frb-nontraditional-data/bargagli_stoffi_paper.pdf" TargetMode="External" /><Relationship Type="http://schemas.openxmlformats.org/officeDocument/2006/relationships/hyperlink" Id="rId23" Target="https://www.bancaria.it/la-previsione-dell-insolvenza-l-applicazione-dello-z-score-alle-imprese-in-amministrazione-straordinaria/" TargetMode="External" /><Relationship Type="http://schemas.openxmlformats.org/officeDocument/2006/relationships/hyperlink" Id="rId26" Target="https://www.greta.it/old/credit/credit2016/PAPERS/Friday/02_Altman_Esentato_Sabato.pdf" TargetMode="External" /><Relationship Type="http://schemas.openxmlformats.org/officeDocument/2006/relationships/hyperlink" Id="rId30" Target="https://www.studocu.com/en-ca/document/royal-roads-university/financial-accounting/z-score-models-application-to/9384925" TargetMode="External" /><Relationship Type="http://schemas.openxmlformats.org/officeDocument/2006/relationships/hyperlink" Id="rId22" Target="https://www.to.camcom.it/sites/default/files/promozione-territorio/I_25.pdf" TargetMode="External" /><Relationship Type="http://schemas.openxmlformats.org/officeDocument/2006/relationships/hyperlink" Id="rId27" Target="https://www.unive.it/web/fileadmin/user_upload/dipartimenti/DMAN/pubblicazioni_scientifiche/working_papers/2022/2022wp09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1ECA5C-4E7C-4A96-8822-D5E9972C64EF}"/>
</file>

<file path=customXml/itemProps2.xml><?xml version="1.0" encoding="utf-8"?>
<ds:datastoreItem xmlns:ds="http://schemas.openxmlformats.org/officeDocument/2006/customXml" ds:itemID="{27D3647E-9C5E-42D3-AD16-C7C5E017337A}"/>
</file>

<file path=customXml/itemProps3.xml><?xml version="1.0" encoding="utf-8"?>
<ds:datastoreItem xmlns:ds="http://schemas.openxmlformats.org/officeDocument/2006/customXml" ds:itemID="{CD2D4561-16D6-4373-B027-CD93E330DAFC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2026-02-15T12:03:08Z</dcterms:created>
  <dcterms:modified xsi:type="dcterms:W3CDTF">2026-02-15T12:03:08Z</dcterms:modified>
  <dc:language>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0x01010049B2E99503D3AD4DA2231F0D240043DD</vt:lpwstr>
  </property>
  <property fmtid="{D5CDD505-2E9C-101B-9397-08002B2CF9AE}" pid="5" name="docLang">
    <vt:lpwstr>it</vt:lpwstr>
  </property>
  <property fmtid="{D5CDD505-2E9C-101B-9397-08002B2CF9AE}" pid="6" name="MediaServiceImageTags">
    <vt:lpwstr/>
  </property>
</Properties>
</file>