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Marzo 2025  |  Speciale Intelligenza Artificiale</w:t>
      </w:r>
    </w:p>
    <w:p/>
    <w:p>
      <w:pPr>
        <w:spacing w:after="120"/>
        <w:jc w:val="left"/>
      </w:pPr>
      <w:r>
        <w:rPr>
          <w:rFonts w:ascii="Calibri" w:hAnsi="Calibri"/>
          <w:b/>
          <w:color w:val="1F497D"/>
          <w:sz w:val="52"/>
        </w:rPr>
        <w:t>Gli AI Agent al servizio dei professionisti</w:t>
      </w:r>
    </w:p>
    <w:p>
      <w:pPr>
        <w:spacing w:after="200"/>
        <w:jc w:val="left"/>
      </w:pPr>
      <w:r>
        <w:rPr>
          <w:rFonts w:ascii="Calibri" w:hAnsi="Calibri"/>
          <w:i/>
          <w:color w:val="2E74B5"/>
          <w:sz w:val="28"/>
        </w:rPr>
        <w:t>La nuova frontiera dell'intelligenza artificiale autonoma per studi professionali e imprese italiane</w:t>
      </w:r>
    </w:p>
    <w:p>
      <w:pPr>
        <w:spacing w:after="40" w:before="40"/>
        <w:pBdr>
          <w:bottom w:val="single" w:sz="6" w:space="1" w:color="1F497D"/>
        </w:pBdr>
      </w:pPr>
    </w:p>
    <w:p>
      <w:pPr>
        <w:spacing w:after="320"/>
        <w:jc w:val="left"/>
      </w:pPr>
      <w:r>
        <w:rPr>
          <w:rFonts w:ascii="Calibri" w:hAnsi="Calibri"/>
          <w:color w:val="808080"/>
          <w:sz w:val="18"/>
        </w:rPr>
        <w:t>A cura della Redazione Ratio  •  24 marzo 2025</w:t>
      </w:r>
    </w:p>
    <w:p>
      <w:pPr>
        <w:spacing w:after="320"/>
        <w:ind w:left="283" w:right="283"/>
        <w:jc w:val="both"/>
      </w:pPr>
      <w:r>
        <w:rPr>
          <w:rFonts w:ascii="Calibri" w:hAnsi="Calibri"/>
          <w:i/>
          <w:color w:val="242424"/>
          <w:sz w:val="22"/>
        </w:rPr>
        <w:t>Dal 2 febbraio 2025 sono entrati in vigore i primi obblighi dell'AI Act europeo. Ma la vera rivoluzione per gli studi professionali e le PMI italiane non è normativa: è operativa. Gli AI Agent — sistemi di intelligenza artificiale capaci di ragionare, pianificare e agire in autonomia su compiti complessi — stanno ridisegnando i processi di lavoro di commercialisti, consulenti, avvocati e manager. In questo articolo analizziamo cosa sono, cosa possono fare concretamente e come affrontare la transizione con metodo.</w:t>
      </w:r>
    </w:p>
    <w:p>
      <w:pPr>
        <w:pStyle w:val="Heading2"/>
        <w:jc w:val="left"/>
      </w:pPr>
      <w:r>
        <w:rPr>
          <w:b/>
          <w:color w:val="1F497D"/>
        </w:rPr>
        <w:t>1. Dal Copilot all'Agent: il salto di qualità dell'IA</w:t>
      </w:r>
    </w:p>
    <w:p>
      <w:pPr>
        <w:spacing w:after="160" w:line="320" w:lineRule="exact"/>
        <w:jc w:val="both"/>
      </w:pPr>
      <w:r>
        <w:rPr>
          <w:rFonts w:ascii="Calibri" w:hAnsi="Calibri"/>
          <w:b w:val="0"/>
          <w:i w:val="0"/>
          <w:sz w:val="22"/>
        </w:rPr>
        <w:t>Per gran parte del 2023 e del 2024 il dibattito sull'intelligenza artificiale in ambito professionale si è concentrato sugli strumenti di assistenza generativa: ChatGPT, Copilot di Microsoft, Gemini di Google. Strumenti preziosi, ma con un limite strutturale: l'utente deve guidare ogni singolo passo, formulare la domanda giusta, interpretare la risposta, decidere il passo successivo.</w:t>
      </w:r>
    </w:p>
    <w:p>
      <w:pPr>
        <w:spacing w:after="160" w:line="320" w:lineRule="exact"/>
        <w:jc w:val="both"/>
      </w:pPr>
      <w:r>
        <w:rPr>
          <w:rFonts w:ascii="Calibri" w:hAnsi="Calibri"/>
          <w:b w:val="0"/>
          <w:i w:val="0"/>
          <w:sz w:val="22"/>
        </w:rPr>
        <w:t>Il 2025 segna il passaggio a una fase diversa. Gli AI Agent — o agenti di intelligenza artificiale — sono sistemi in grado di: ricevere un obiettivo complesso in linguaggio naturale, scomporlo autonomamente in sotto-compiti, utilizzare strumenti esterni (database, API, file, browser, gestionali) e portare a termine l'incarico con supervisione umana minima o nulla. Non rispondono: agiscono.</w:t>
      </w:r>
    </w:p>
    <w:p>
      <w:pPr>
        <w:spacing w:before="120" w:after="120"/>
        <w:ind w:left="283" w:right="283"/>
        <w:jc w:val="both"/>
      </w:pPr>
      <w:r>
        <w:rPr>
          <w:rFonts w:ascii="Calibri" w:hAnsi="Calibri"/>
          <w:i/>
          <w:sz w:val="22"/>
        </w:rPr>
        <w:t>Esempio pratico — Un agente configurato per il monitoraggio dei crediti può: accedere al gestionale, identificare le fatture scadute, verificare la situazione del cliente via PEC o portale, redigere la lettera di sollecito personalizzata e archiviarla nel fascicolo — il tutto in pochi minuti, senza intervento umano.</w:t>
      </w:r>
    </w:p>
    <w:p>
      <w:pPr>
        <w:spacing w:after="160" w:line="320" w:lineRule="exact"/>
        <w:jc w:val="both"/>
      </w:pPr>
      <w:r>
        <w:rPr>
          <w:rFonts w:ascii="Calibri" w:hAnsi="Calibri"/>
          <w:b w:val="0"/>
          <w:i w:val="0"/>
          <w:sz w:val="22"/>
        </w:rPr>
        <w:t>Secondo il Politecnico di Milano (Osservatorio Artificial Intelligence, rapporto 2024), il mercato italiano dell'AI ha raggiunto 760 milioni di euro, con una crescita del 52% sull'anno precedente. Ma i dati più interessanti per i professionisti riguardano la composizione: la quota destinata all'automazione intelligente dei processi (RPA + AI generativa) ha superato per la prima volta il 40% del totale. Il segnale è chiaro: le imprese stanno passando dall'esplorazione all'implementazione.</w:t>
      </w:r>
    </w:p>
    <w:p>
      <w:pPr>
        <w:pStyle w:val="Heading2"/>
        <w:jc w:val="left"/>
      </w:pPr>
      <w:r>
        <w:rPr>
          <w:b/>
          <w:color w:val="1F497D"/>
        </w:rPr>
        <w:t>2. Come funzionano gli AI Agent: l'architettura essenziale</w:t>
      </w:r>
    </w:p>
    <w:p>
      <w:pPr>
        <w:spacing w:after="160" w:line="320" w:lineRule="exact"/>
        <w:jc w:val="both"/>
      </w:pPr>
      <w:r>
        <w:rPr>
          <w:rFonts w:ascii="Calibri" w:hAnsi="Calibri"/>
          <w:b w:val="0"/>
          <w:i w:val="0"/>
          <w:sz w:val="22"/>
        </w:rPr>
        <w:t>Comprendere il funzionamento degli agenti non è un esercizio accademico: è il presupposto per valutarne i rischi, le opportunità e i limiti nel contesto del proprio studio o della propria impresa.</w:t>
      </w:r>
    </w:p>
    <w:p>
      <w:pPr>
        <w:spacing w:after="160" w:line="320" w:lineRule="exact"/>
        <w:jc w:val="both"/>
      </w:pPr>
      <w:r>
        <w:rPr>
          <w:rFonts w:ascii="Calibri" w:hAnsi="Calibri"/>
          <w:b w:val="0"/>
          <w:i w:val="0"/>
          <w:sz w:val="22"/>
        </w:rPr>
        <w:t>Un AI Agent è composto da quattro elementi fondamentali:</w:t>
      </w:r>
    </w:p>
    <w:p>
      <w:pPr>
        <w:pStyle w:val="ListBullet"/>
        <w:spacing w:after="80"/>
      </w:pPr>
      <w:r>
        <w:rPr>
          <w:rFonts w:ascii="Calibri" w:hAnsi="Calibri"/>
          <w:sz w:val="22"/>
        </w:rPr>
        <w:t>Modello linguistico (LLM): il "cervello" che comprende il linguaggio, ragiona e pianifica. I principali sono GPT-4o (OpenAI), Claude 3.7 (Anthropic), Gemini 2.0 (Google).</w:t>
      </w:r>
    </w:p>
    <w:p>
      <w:pPr>
        <w:pStyle w:val="ListBullet"/>
        <w:spacing w:after="80"/>
      </w:pPr>
      <w:r>
        <w:rPr>
          <w:rFonts w:ascii="Calibri" w:hAnsi="Calibri"/>
          <w:sz w:val="22"/>
        </w:rPr>
        <w:t>Memoria: la capacità di ricordare il contesto di una sessione o, in versioni più evolute, di archiviare informazioni persistenti tra sessioni diverse.</w:t>
      </w:r>
    </w:p>
    <w:p>
      <w:pPr>
        <w:pStyle w:val="ListBullet"/>
        <w:spacing w:after="80"/>
      </w:pPr>
      <w:r>
        <w:rPr>
          <w:rFonts w:ascii="Calibri" w:hAnsi="Calibri"/>
          <w:sz w:val="22"/>
        </w:rPr>
        <w:t>Strumenti (tools): le "mani" dell'agente — API, ricerche web, esecuzione di codice, lettura/scrittura di file, connessione a gestionali.</w:t>
      </w:r>
    </w:p>
    <w:p>
      <w:pPr>
        <w:pStyle w:val="ListBullet"/>
        <w:spacing w:after="80"/>
      </w:pPr>
      <w:r>
        <w:rPr>
          <w:rFonts w:ascii="Calibri" w:hAnsi="Calibri"/>
          <w:sz w:val="22"/>
        </w:rPr>
        <w:t>Loop di ragionamento (ReAct o simili): il ciclo con cui l'agente pianifica, agisce, osserva il risultato e itera fino al completamento del compito.</w:t>
      </w:r>
    </w:p>
    <w:p>
      <w:pPr>
        <w:spacing w:after="160" w:line="320" w:lineRule="exact"/>
        <w:jc w:val="both"/>
      </w:pPr>
      <w:r>
        <w:rPr>
          <w:rFonts w:ascii="Calibri" w:hAnsi="Calibri"/>
          <w:b w:val="0"/>
          <w:i w:val="0"/>
          <w:sz w:val="22"/>
        </w:rPr>
        <w:t>La combinazione di questi elementi consente a un agente ben configurato di gestire attività che richiederebbero ore di lavoro manuale qualificato. Il professionista non deve scrivere codice: deve definire l'obiettivo, i confini d'azione e le regole di escalation verso l'umano.</w:t>
      </w:r>
    </w:p>
    <w:p>
      <w:pPr>
        <w:pStyle w:val="Heading2"/>
        <w:jc w:val="left"/>
      </w:pPr>
      <w:r>
        <w:rPr>
          <w:b/>
          <w:color w:val="1F497D"/>
        </w:rPr>
        <w:t>3. Applicazioni concrete per studi professionali e PMI</w:t>
      </w:r>
    </w:p>
    <w:p>
      <w:pPr>
        <w:spacing w:after="160" w:line="320" w:lineRule="exact"/>
        <w:jc w:val="both"/>
      </w:pPr>
      <w:r>
        <w:rPr>
          <w:rFonts w:ascii="Calibri" w:hAnsi="Calibri"/>
          <w:b w:val="0"/>
          <w:i w:val="0"/>
          <w:sz w:val="22"/>
        </w:rPr>
        <w:t>Vediamo i principali ambiti di applicazione già operativi in Italia, ordinati per maturità tecnologica e facilità di adozione.</w:t>
      </w:r>
    </w:p>
    <w:p>
      <w:pPr>
        <w:spacing w:after="80"/>
      </w:pPr>
      <w:r>
        <w:rPr>
          <w:rFonts w:ascii="Calibri" w:hAnsi="Calibri"/>
          <w:b/>
          <w:color w:val="2E74B5"/>
          <w:sz w:val="24"/>
        </w:rPr>
        <w:t>3.1  Analisi documentale e due diligence</w:t>
      </w:r>
    </w:p>
    <w:p>
      <w:pPr>
        <w:spacing w:after="160" w:line="320" w:lineRule="exact"/>
        <w:jc w:val="both"/>
      </w:pPr>
      <w:r>
        <w:rPr>
          <w:rFonts w:ascii="Calibri" w:hAnsi="Calibri"/>
          <w:b w:val="0"/>
          <w:i w:val="0"/>
          <w:sz w:val="22"/>
        </w:rPr>
        <w:t>L'analisi di contratti, bilanci, visure e documentazione legale è uno dei campi dove gli agenti offrono il ritorno più immediato. Un agente può analizzare centinaia di pagine di documenti, estrarre clausole rilevanti, confrontarle con un modello di riferimento e produrre una sintesi strutturata con i punti di attenzione. Studi legali e commercialisti che lavorano su operazioni straordinarie (M&amp;A, fusioni, cessioni) stanno già riducendo i tempi di due diligence del 40-60%.</w:t>
      </w:r>
    </w:p>
    <w:p>
      <w:pPr>
        <w:spacing w:after="80"/>
      </w:pPr>
      <w:r>
        <w:rPr>
          <w:rFonts w:ascii="Calibri" w:hAnsi="Calibri"/>
          <w:b/>
          <w:color w:val="2E74B5"/>
          <w:sz w:val="24"/>
        </w:rPr>
        <w:t>3.2  Redazione e revisione di documenti fiscali e contabili</w:t>
      </w:r>
    </w:p>
    <w:p>
      <w:pPr>
        <w:spacing w:after="160" w:line="320" w:lineRule="exact"/>
        <w:jc w:val="both"/>
      </w:pPr>
      <w:r>
        <w:rPr>
          <w:rFonts w:ascii="Calibri" w:hAnsi="Calibri"/>
          <w:b w:val="0"/>
          <w:i w:val="0"/>
          <w:sz w:val="22"/>
        </w:rPr>
        <w:t>Dai comunicati IVA alle relazioni di accompagnamento al bilancio, dalla bozza di ricorso tributario alle risposte a interpelli, gli agenti possono predisporre documenti professionali partendo da dati strutturati (estratti contabili, codici normativi, giurisprudenza). La qualità del testo prodotto richiede revisione umana, ma il risparmio di tempo nella fase di bozza è dell'ordine del 60-70%. Alcuni studi hanno già integrato questi flussi nei propri software gestionali.</w:t>
      </w:r>
    </w:p>
    <w:p>
      <w:pPr>
        <w:spacing w:after="80"/>
      </w:pPr>
      <w:r>
        <w:rPr>
          <w:rFonts w:ascii="Calibri" w:hAnsi="Calibri"/>
          <w:b/>
          <w:color w:val="2E74B5"/>
          <w:sz w:val="24"/>
        </w:rPr>
        <w:t>3.3  Supporto al controllo di gestione e all'analisi finanziaria</w:t>
      </w:r>
    </w:p>
    <w:p>
      <w:pPr>
        <w:spacing w:after="160" w:line="320" w:lineRule="exact"/>
        <w:jc w:val="both"/>
      </w:pPr>
      <w:r>
        <w:rPr>
          <w:rFonts w:ascii="Calibri" w:hAnsi="Calibri"/>
          <w:b w:val="0"/>
          <w:i w:val="0"/>
          <w:sz w:val="22"/>
        </w:rPr>
        <w:t>Collegati ai dati di bilancio o ai file Excel del controller, gli agenti possono calcolare automaticamente indici di bilancio, confrontarli con i benchmark di settore, identificare anomalie e formulare commenti narrativi per i report direzionali. Non si tratta di sostituire il controller: si tratta di liberarlo dalle elaborazioni meccaniche per concentrarlo sull'interpretazione e sulla relazione con il management.</w:t>
      </w:r>
    </w:p>
    <w:p>
      <w:pPr>
        <w:spacing w:after="80"/>
      </w:pPr>
      <w:r>
        <w:rPr>
          <w:rFonts w:ascii="Calibri" w:hAnsi="Calibri"/>
          <w:b/>
          <w:color w:val="2E74B5"/>
          <w:sz w:val="24"/>
        </w:rPr>
        <w:t>3.4  Gestione intelligente delle comunicazioni con clienti e banche</w:t>
      </w:r>
    </w:p>
    <w:p>
      <w:pPr>
        <w:spacing w:after="160" w:line="320" w:lineRule="exact"/>
        <w:jc w:val="both"/>
      </w:pPr>
      <w:r>
        <w:rPr>
          <w:rFonts w:ascii="Calibri" w:hAnsi="Calibri"/>
          <w:b w:val="0"/>
          <w:i w:val="0"/>
          <w:sz w:val="22"/>
        </w:rPr>
        <w:t>Agenti configurati sul profilo del cliente possono predisporre memorie descrittive per pratiche bancarie, rispondere a richieste di documentazione, gestire scadenze e follow-up via email. Nelle PMI con un piccolo team amministrativo, questo riduce significativamente il carico su attività a basso valore aggiunto e migliora la qualità e tempestività delle comunicazioni.</w:t>
      </w:r>
    </w:p>
    <w:p>
      <w:pPr>
        <w:pStyle w:val="Heading2"/>
        <w:jc w:val="left"/>
      </w:pPr>
      <w:r>
        <w:rPr>
          <w:b/>
          <w:color w:val="1F497D"/>
        </w:rPr>
        <w:t>4. AI Act: il nuovo quadro normativo europeo e gli obblighi per le imprese</w:t>
      </w:r>
    </w:p>
    <w:p>
      <w:pPr>
        <w:spacing w:after="160" w:line="320" w:lineRule="exact"/>
        <w:jc w:val="both"/>
      </w:pPr>
      <w:r>
        <w:rPr>
          <w:rFonts w:ascii="Calibri" w:hAnsi="Calibri"/>
          <w:b w:val="0"/>
          <w:i w:val="0"/>
          <w:sz w:val="22"/>
        </w:rPr>
        <w:t>Dal 1° agosto 2024 è in vigore il Regolamento (UE) 2024/1689, noto come AI Act. Ma è il 2 febbraio 2025 la data che ogni professionista deve avere ben presente: da quel giorno sono operative le prime disposizioni vincolanti, in particolare il divieto assoluto di utilizzo delle pratiche di IA considerate inaccettabili (manipolazione subliminale, social scoring, riconoscimento facciale di massa in spazi pubblici).</w:t>
      </w:r>
    </w:p>
    <w:p>
      <w:pPr>
        <w:spacing w:after="160" w:line="320" w:lineRule="exact"/>
        <w:jc w:val="both"/>
      </w:pPr>
      <w:r>
        <w:rPr>
          <w:rFonts w:ascii="Calibri" w:hAnsi="Calibri"/>
          <w:b w:val="0"/>
          <w:i w:val="0"/>
          <w:sz w:val="22"/>
        </w:rPr>
        <w:t>Per studi professionali e imprese le scadenze più rilevanti sono:</w:t>
      </w:r>
    </w:p>
    <w:p>
      <w:pPr>
        <w:pStyle w:val="ListBullet"/>
        <w:spacing w:after="80"/>
      </w:pPr>
      <w:r>
        <w:rPr>
          <w:rFonts w:ascii="Calibri" w:hAnsi="Calibri"/>
          <w:sz w:val="22"/>
        </w:rPr>
        <w:t>Febbraio 2025 (già in vigore): divieto dei sistemi IA a rischio inaccettabile.</w:t>
      </w:r>
    </w:p>
    <w:p>
      <w:pPr>
        <w:pStyle w:val="ListBullet"/>
        <w:spacing w:after="80"/>
      </w:pPr>
      <w:r>
        <w:rPr>
          <w:rFonts w:ascii="Calibri" w:hAnsi="Calibri"/>
          <w:sz w:val="22"/>
        </w:rPr>
        <w:t>Agosto 2025: obbligo di formazione in materia di IA per tutti coloro che utilizzano o sviluppano sistemi di IA in ambito professionale (art. 4 AI Act — "AI literacy").</w:t>
      </w:r>
    </w:p>
    <w:p>
      <w:pPr>
        <w:pStyle w:val="ListBullet"/>
        <w:spacing w:after="80"/>
      </w:pPr>
      <w:r>
        <w:rPr>
          <w:rFonts w:ascii="Calibri" w:hAnsi="Calibri"/>
          <w:sz w:val="22"/>
        </w:rPr>
        <w:t>Agosto 2026: entrata in piena applicazione delle norme sui sistemi IA ad alto rischio (inclusi i sistemi usati in ambito creditizio, selezione del personale, istruzione).</w:t>
      </w:r>
    </w:p>
    <w:p>
      <w:pPr>
        <w:spacing w:after="160" w:line="320" w:lineRule="exact"/>
        <w:jc w:val="both"/>
      </w:pPr>
      <w:r>
        <w:rPr>
          <w:rFonts w:ascii="Calibri" w:hAnsi="Calibri"/>
          <w:b w:val="0"/>
          <w:i w:val="0"/>
          <w:sz w:val="22"/>
        </w:rPr>
        <w:t>In Italia, le autorità nazionali competenti per la vigilanza sull'AI Act sono l'Agenzia per l'Italia Digitale (AGID) e l'Agenzia per la Cybersicurezza Nazionale (ACN). Il Garante Privacy mantiene le proprie competenze per i profili relativi al trattamento dei dati personali.</w:t>
      </w:r>
    </w:p>
    <w:p>
      <w:pPr>
        <w:spacing w:before="120" w:after="120"/>
        <w:ind w:left="283" w:right="283"/>
        <w:jc w:val="both"/>
      </w:pPr>
      <w:r>
        <w:rPr>
          <w:rFonts w:ascii="Calibri" w:hAnsi="Calibri"/>
          <w:i/>
          <w:sz w:val="22"/>
        </w:rPr>
        <w:t>Attenzione pratica — L'obbligo di "AI literacy" (art. 4) è già in vigore. Ogni studio o impresa che utilizza sistemi di IA deve assicurare che il personale coinvolto abbia una conoscenza sufficiente delle caratteristiche, dei limiti e dei rischi di questi strumenti. Non è richiesta una certificazione formale, ma è opportuno documentare le iniziative formative intraprese.</w:t>
      </w:r>
    </w:p>
    <w:p>
      <w:pPr>
        <w:pStyle w:val="Heading2"/>
        <w:jc w:val="left"/>
      </w:pPr>
      <w:r>
        <w:rPr>
          <w:b/>
          <w:color w:val="1F497D"/>
        </w:rPr>
        <w:t>5. Rischi, limiti e buone pratiche per un'adozione responsabile</w:t>
      </w:r>
    </w:p>
    <w:p>
      <w:pPr>
        <w:spacing w:after="160" w:line="320" w:lineRule="exact"/>
        <w:jc w:val="both"/>
      </w:pPr>
      <w:r>
        <w:rPr>
          <w:rFonts w:ascii="Calibri" w:hAnsi="Calibri"/>
          <w:b w:val="0"/>
          <w:i w:val="0"/>
          <w:sz w:val="22"/>
        </w:rPr>
        <w:t>L'entusiasmo giustificato intorno agli AI Agent non deve far dimenticare i rischi concreti, soprattutto in contesti professionali dove la responsabilità verso il cliente è diretta.</w:t>
      </w:r>
    </w:p>
    <w:tbl>
      <w:tblPr>
        <w:tblStyle w:val="TableGrid"/>
        <w:tblW w:type="auto" w:w="0"/>
        <w:tblLook w:firstColumn="1" w:firstRow="1" w:lastColumn="0" w:lastRow="0" w:noHBand="0" w:noVBand="1" w:val="04A0"/>
      </w:tblPr>
      <w:tblGrid>
        <w:gridCol w:w="4252"/>
        <w:gridCol w:w="4252"/>
      </w:tblGrid>
      <w:tr>
        <w:tc>
          <w:tcPr>
            <w:tcW w:type="dxa" w:w="4252"/>
            <w:shd w:val="clear" w:color="auto" w:fill="1F497D"/>
          </w:tcPr>
          <w:p>
            <w:r>
              <w:rPr>
                <w:rFonts w:ascii="Calibri" w:hAnsi="Calibri"/>
                <w:b/>
                <w:color w:val="FFFFFF"/>
                <w:sz w:val="20"/>
              </w:rPr>
              <w:t>Rischio</w:t>
            </w:r>
          </w:p>
        </w:tc>
        <w:tc>
          <w:tcPr>
            <w:tcW w:type="dxa" w:w="4252"/>
            <w:shd w:val="clear" w:color="auto" w:fill="1F497D"/>
          </w:tcPr>
          <w:p>
            <w:r>
              <w:rPr>
                <w:rFonts w:ascii="Calibri" w:hAnsi="Calibri"/>
                <w:b/>
                <w:color w:val="FFFFFF"/>
                <w:sz w:val="20"/>
              </w:rPr>
              <w:t>Buona pratica di mitigazione</w:t>
            </w:r>
          </w:p>
        </w:tc>
      </w:tr>
      <w:tr>
        <w:tc>
          <w:tcPr>
            <w:tcW w:type="dxa" w:w="4252"/>
          </w:tcPr>
          <w:p>
            <w:r>
              <w:rPr>
                <w:rFonts w:ascii="Calibri" w:hAnsi="Calibri"/>
                <w:sz w:val="20"/>
              </w:rPr>
              <w:t>Allucinazioni e informazioni errate</w:t>
            </w:r>
          </w:p>
        </w:tc>
        <w:tc>
          <w:tcPr>
            <w:tcW w:type="dxa" w:w="4252"/>
          </w:tcPr>
          <w:p>
            <w:r>
              <w:rPr>
                <w:rFonts w:ascii="Calibri" w:hAnsi="Calibri"/>
                <w:sz w:val="20"/>
              </w:rPr>
              <w:t>Verificare sempre le fonti. Non usare output dell'agente senza revisione umana per atti con valenza legale o fiscale.</w:t>
            </w:r>
          </w:p>
        </w:tc>
      </w:tr>
      <w:tr>
        <w:tc>
          <w:tcPr>
            <w:tcW w:type="dxa" w:w="4252"/>
          </w:tcPr>
          <w:p>
            <w:r>
              <w:rPr>
                <w:rFonts w:ascii="Calibri" w:hAnsi="Calibri"/>
                <w:sz w:val="20"/>
              </w:rPr>
              <w:t>Violazione della riservatezza dei dati</w:t>
            </w:r>
          </w:p>
        </w:tc>
        <w:tc>
          <w:tcPr>
            <w:tcW w:type="dxa" w:w="4252"/>
          </w:tcPr>
          <w:p>
            <w:r>
              <w:rPr>
                <w:rFonts w:ascii="Calibri" w:hAnsi="Calibri"/>
                <w:sz w:val="20"/>
              </w:rPr>
              <w:t>Usare soluzioni con dati ospitati in Europa (GDPR). Evitare di caricare dati sensibili su servizi cloud non conformi.</w:t>
            </w:r>
          </w:p>
        </w:tc>
      </w:tr>
      <w:tr>
        <w:tc>
          <w:tcPr>
            <w:tcW w:type="dxa" w:w="4252"/>
          </w:tcPr>
          <w:p>
            <w:r>
              <w:rPr>
                <w:rFonts w:ascii="Calibri" w:hAnsi="Calibri"/>
                <w:sz w:val="20"/>
              </w:rPr>
              <w:t>Dipendenza eccessiva dallo strumento</w:t>
            </w:r>
          </w:p>
        </w:tc>
        <w:tc>
          <w:tcPr>
            <w:tcW w:type="dxa" w:w="4252"/>
          </w:tcPr>
          <w:p>
            <w:r>
              <w:rPr>
                <w:rFonts w:ascii="Calibri" w:hAnsi="Calibri"/>
                <w:sz w:val="20"/>
              </w:rPr>
              <w:t>Mantenere le competenze professionali di base. L'agente supporta il professionista, non lo sostituisce.</w:t>
            </w:r>
          </w:p>
        </w:tc>
      </w:tr>
      <w:tr>
        <w:tc>
          <w:tcPr>
            <w:tcW w:type="dxa" w:w="4252"/>
          </w:tcPr>
          <w:p>
            <w:r>
              <w:rPr>
                <w:rFonts w:ascii="Calibri" w:hAnsi="Calibri"/>
                <w:sz w:val="20"/>
              </w:rPr>
              <w:t>Responsabilità professionale</w:t>
            </w:r>
          </w:p>
        </w:tc>
        <w:tc>
          <w:tcPr>
            <w:tcW w:type="dxa" w:w="4252"/>
          </w:tcPr>
          <w:p>
            <w:r>
              <w:rPr>
                <w:rFonts w:ascii="Calibri" w:hAnsi="Calibri"/>
                <w:sz w:val="20"/>
              </w:rPr>
              <w:t>La firma del professionista implica la responsabilità del contenuto. L'output dell'agente non esonera da obblighi deontologici.</w:t>
            </w:r>
          </w:p>
        </w:tc>
      </w:tr>
      <w:tr>
        <w:tc>
          <w:tcPr>
            <w:tcW w:type="dxa" w:w="4252"/>
          </w:tcPr>
          <w:p>
            <w:r>
              <w:rPr>
                <w:rFonts w:ascii="Calibri" w:hAnsi="Calibri"/>
                <w:sz w:val="20"/>
              </w:rPr>
              <w:t>Obsolescenza rapida degli strumenti</w:t>
            </w:r>
          </w:p>
        </w:tc>
        <w:tc>
          <w:tcPr>
            <w:tcW w:type="dxa" w:w="4252"/>
          </w:tcPr>
          <w:p>
            <w:r>
              <w:rPr>
                <w:rFonts w:ascii="Calibri" w:hAnsi="Calibri"/>
                <w:sz w:val="20"/>
              </w:rPr>
              <w:t>Privilegiare architetture modulari. Evitare dipendenze da un solo fornitore (lock-in).</w:t>
            </w:r>
          </w:p>
        </w:tc>
      </w:tr>
    </w:tbl>
    <w:p/>
    <w:p>
      <w:pPr>
        <w:pStyle w:val="Heading2"/>
        <w:jc w:val="left"/>
      </w:pPr>
      <w:r>
        <w:rPr>
          <w:b/>
          <w:color w:val="1F497D"/>
        </w:rPr>
        <w:t>6. Come iniziare: un percorso in quattro passi</w:t>
      </w:r>
    </w:p>
    <w:p>
      <w:pPr>
        <w:spacing w:after="160" w:line="320" w:lineRule="exact"/>
        <w:jc w:val="both"/>
      </w:pPr>
      <w:r>
        <w:rPr>
          <w:rFonts w:ascii="Calibri" w:hAnsi="Calibri"/>
          <w:b w:val="0"/>
          <w:i w:val="0"/>
          <w:sz w:val="22"/>
        </w:rPr>
        <w:t>Per uno studio professionale o una PMI italiana che voglia avvicinarsi agli AI Agent in modo strutturato e responsabile, suggeriamo il seguente approccio graduale.</w:t>
      </w:r>
    </w:p>
    <w:p>
      <w:pPr>
        <w:spacing w:after="80" w:before="160"/>
      </w:pPr>
      <w:r>
        <w:rPr>
          <w:rFonts w:ascii="Calibri" w:hAnsi="Calibri"/>
          <w:b/>
          <w:color w:val="1F497D"/>
          <w:sz w:val="22"/>
        </w:rPr>
        <w:t>Passo 1 — Mappare i processi ripetitivi</w:t>
      </w:r>
    </w:p>
    <w:p>
      <w:pPr>
        <w:spacing w:after="160" w:line="320" w:lineRule="exact"/>
        <w:jc w:val="both"/>
      </w:pPr>
      <w:r>
        <w:rPr>
          <w:rFonts w:ascii="Calibri" w:hAnsi="Calibri"/>
          <w:b w:val="0"/>
          <w:i w:val="0"/>
          <w:sz w:val="22"/>
        </w:rPr>
        <w:t>Identificare le attività che assorbono più tempo e sono ad alto tasso di standardizzazione: compilazione di moduli, redazione di bozze, raccolta e sintesi di dati. Queste sono le candidate ideali per la prima automazione agente.</w:t>
      </w:r>
    </w:p>
    <w:p>
      <w:pPr>
        <w:spacing w:after="80" w:before="160"/>
      </w:pPr>
      <w:r>
        <w:rPr>
          <w:rFonts w:ascii="Calibri" w:hAnsi="Calibri"/>
          <w:b/>
          <w:color w:val="1F497D"/>
          <w:sz w:val="22"/>
        </w:rPr>
        <w:t>Passo 2 — Scegliere la piattaforma giusta</w:t>
      </w:r>
    </w:p>
    <w:p>
      <w:pPr>
        <w:spacing w:after="160" w:line="320" w:lineRule="exact"/>
        <w:jc w:val="both"/>
      </w:pPr>
      <w:r>
        <w:rPr>
          <w:rFonts w:ascii="Calibri" w:hAnsi="Calibri"/>
          <w:b w:val="0"/>
          <w:i w:val="0"/>
          <w:sz w:val="22"/>
        </w:rPr>
        <w:t>Valutare soluzioni enterprise già integrate con i gestionali in uso (ad esempio Microsoft Copilot for M365, soluzioni verticali per studi commercialisti, oppure piattaforme no-code come n8n o Make). Privilegiare fornitori con data center in UE.</w:t>
      </w:r>
    </w:p>
    <w:p>
      <w:pPr>
        <w:spacing w:after="80" w:before="160"/>
      </w:pPr>
      <w:r>
        <w:rPr>
          <w:rFonts w:ascii="Calibri" w:hAnsi="Calibri"/>
          <w:b/>
          <w:color w:val="1F497D"/>
          <w:sz w:val="22"/>
        </w:rPr>
        <w:t>Passo 3 — Pilotare su un processo non critico</w:t>
      </w:r>
    </w:p>
    <w:p>
      <w:pPr>
        <w:spacing w:after="160" w:line="320" w:lineRule="exact"/>
        <w:jc w:val="both"/>
      </w:pPr>
      <w:r>
        <w:rPr>
          <w:rFonts w:ascii="Calibri" w:hAnsi="Calibri"/>
          <w:b w:val="0"/>
          <w:i w:val="0"/>
          <w:sz w:val="22"/>
        </w:rPr>
        <w:t>Avviare un progetto pilota su un processo a basso rischio (es. redazione di comunicazioni standard). Misurare tempi, qualità dell'output, soddisfazione del team. Correggere prima di scalare.</w:t>
      </w:r>
    </w:p>
    <w:p>
      <w:pPr>
        <w:spacing w:after="80" w:before="160"/>
      </w:pPr>
      <w:r>
        <w:rPr>
          <w:rFonts w:ascii="Calibri" w:hAnsi="Calibri"/>
          <w:b/>
          <w:color w:val="1F497D"/>
          <w:sz w:val="22"/>
        </w:rPr>
        <w:t>Passo 4 — Formare il team e aggiornare le policy interne</w:t>
      </w:r>
    </w:p>
    <w:p>
      <w:pPr>
        <w:spacing w:after="160" w:line="320" w:lineRule="exact"/>
        <w:jc w:val="both"/>
      </w:pPr>
      <w:r>
        <w:rPr>
          <w:rFonts w:ascii="Calibri" w:hAnsi="Calibri"/>
          <w:b w:val="0"/>
          <w:i w:val="0"/>
          <w:sz w:val="22"/>
        </w:rPr>
        <w:t>Adempiere all'obbligo di AI literacy (art. 4 AI Act) con percorsi formativi documentati. Aggiornare le policy interne su uso degli strumenti IA, trattamento dei dati, revisione degli output e responsabilità.</w:t>
      </w:r>
    </w:p>
    <w:p>
      <w:pPr>
        <w:pStyle w:val="Heading2"/>
        <w:jc w:val="left"/>
      </w:pPr>
      <w:r>
        <w:rPr>
          <w:b/>
          <w:color w:val="1F497D"/>
        </w:rPr>
        <w:t>Conclusioni</w:t>
      </w:r>
    </w:p>
    <w:p>
      <w:pPr>
        <w:spacing w:after="160" w:line="320" w:lineRule="exact"/>
        <w:jc w:val="both"/>
      </w:pPr>
      <w:r>
        <w:rPr>
          <w:rFonts w:ascii="Calibri" w:hAnsi="Calibri"/>
          <w:b w:val="0"/>
          <w:i w:val="0"/>
          <w:sz w:val="22"/>
        </w:rPr>
        <w:t>Gli AI Agent non sono fantascienza né una moda passeggera: sono strumenti operativi che stanno già cambiando il modo in cui i professionisti e le imprese più avanzate lavorano. Il vantaggio competitivo non appartiene a chi adotta prima, ma a chi adotta meglio: con metodo, con una chiara visione dei rischi e con la consapevolezza che la tecnologia potenzia il giudizio professionale, ma non lo sostituisce.</w:t>
      </w:r>
    </w:p>
    <w:p>
      <w:pPr>
        <w:spacing w:after="160" w:line="320" w:lineRule="exact"/>
        <w:jc w:val="both"/>
      </w:pPr>
      <w:r>
        <w:rPr>
          <w:rFonts w:ascii="Calibri" w:hAnsi="Calibri"/>
          <w:b w:val="0"/>
          <w:i w:val="0"/>
          <w:sz w:val="22"/>
        </w:rPr>
        <w:t>Per i commercialisti, i consulenti aziendali e i manager italiani, la domanda non è più "se" dotarsi di questi strumenti, ma "come" farlo in modo responsabile, efficace e conforme al nuovo quadro normativo europeo. Chi inizia a costruire questa competenza oggi avrà un vantaggio significativo nei prossimi dodici mesi.</w:t>
      </w:r>
    </w:p>
    <w:p>
      <w:pPr>
        <w:spacing w:after="40" w:before="40"/>
        <w:pBdr>
          <w:bottom w:val="single" w:sz="6" w:space="1" w:color="1F497D"/>
        </w:pBdr>
      </w:pPr>
    </w:p>
    <w:p>
      <w:pPr>
        <w:spacing w:before="200"/>
      </w:pPr>
      <w:r>
        <w:rPr>
          <w:rFonts w:ascii="Calibri" w:hAnsi="Calibri"/>
          <w:b/>
          <w:color w:val="606060"/>
          <w:sz w:val="18"/>
        </w:rPr>
        <w:t>Fonti e riferimenti</w:t>
      </w:r>
    </w:p>
    <w:p>
      <w:pPr>
        <w:spacing w:after="40"/>
      </w:pPr>
      <w:r>
        <w:rPr>
          <w:rFonts w:ascii="Calibri" w:hAnsi="Calibri"/>
          <w:color w:val="606060"/>
          <w:sz w:val="17"/>
        </w:rPr>
        <w:t>• Regolamento (UE) 2024/1689 — AI Act (GU UE, 12 luglio 2024)</w:t>
      </w:r>
    </w:p>
    <w:p>
      <w:pPr>
        <w:spacing w:after="40"/>
      </w:pPr>
      <w:r>
        <w:rPr>
          <w:rFonts w:ascii="Calibri" w:hAnsi="Calibri"/>
          <w:color w:val="606060"/>
          <w:sz w:val="17"/>
        </w:rPr>
        <w:t>• Osservatorio Artificial Intelligence — Politecnico di Milano, Rapporto 2024</w:t>
      </w:r>
    </w:p>
    <w:p>
      <w:pPr>
        <w:spacing w:after="40"/>
      </w:pPr>
      <w:r>
        <w:rPr>
          <w:rFonts w:ascii="Calibri" w:hAnsi="Calibri"/>
          <w:color w:val="606060"/>
          <w:sz w:val="17"/>
        </w:rPr>
        <w:t>• AGID / ACN — Comunicazione sulle autorità nazionali competenti AI Act (gennaio 2025)</w:t>
      </w:r>
    </w:p>
    <w:p>
      <w:pPr>
        <w:spacing w:after="40"/>
      </w:pPr>
      <w:r>
        <w:rPr>
          <w:rFonts w:ascii="Calibri" w:hAnsi="Calibri"/>
          <w:color w:val="606060"/>
          <w:sz w:val="17"/>
        </w:rPr>
        <w:t>• Garante per la Protezione dei Dati Personali — Linee guida sull'uso dell'IA nei servizi professionali</w:t>
      </w:r>
    </w:p>
    <w:p>
      <w:pPr>
        <w:spacing w:after="40"/>
      </w:pPr>
      <w:r>
        <w:rPr>
          <w:rFonts w:ascii="Calibri" w:hAnsi="Calibri"/>
          <w:color w:val="606060"/>
          <w:sz w:val="17"/>
        </w:rPr>
        <w:t>• Microsoft, Anthropic, Google — Documentazione tecnica su Copilot, Claude e Gemini (2025)</w:t>
      </w:r>
    </w:p>
    <w:p>
      <w:pPr>
        <w:spacing w:before="320"/>
        <w:jc w:val="center"/>
      </w:pPr>
      <w:r>
        <w:rPr>
          <w:rFonts w:ascii="Calibri" w:hAnsi="Calibri"/>
          <w:i/>
          <w:color w:val="A0A0A0"/>
          <w:sz w:val="16"/>
        </w:rPr>
        <w:t>© 2025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995707F-003E-461F-A2CC-E52ECF9F0998}"/>
</file>

<file path=customXml/itemProps3.xml><?xml version="1.0" encoding="utf-8"?>
<ds:datastoreItem xmlns:ds="http://schemas.openxmlformats.org/officeDocument/2006/customXml" ds:itemID="{F35A7457-D337-420B-ABF5-FFC3D3AB40EA}"/>
</file>

<file path=customXml/itemProps4.xml><?xml version="1.0" encoding="utf-8"?>
<ds:datastoreItem xmlns:ds="http://schemas.openxmlformats.org/officeDocument/2006/customXml" ds:itemID="{D484C266-15D7-45B0-8A30-565872802A2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ies>
</file>