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aps/>
          <w:color w:val="1F497D"/>
          <w:sz w:val="18"/>
        </w:rPr>
        <w:t>RATIO  •  Approfondimenti per Professionisti e Imprese</w:t>
      </w:r>
    </w:p>
    <w:p>
      <w:pPr>
        <w:spacing w:after="40" w:before="40"/>
        <w:pBdr>
          <w:bottom w:val="single" w:sz="6" w:space="1" w:color="1F497D"/>
        </w:pBdr>
      </w:pPr>
    </w:p>
    <w:p>
      <w:pPr>
        <w:jc w:val="right"/>
      </w:pPr>
      <w:r>
        <w:rPr>
          <w:rFonts w:ascii="Calibri" w:hAnsi="Calibri"/>
          <w:i/>
          <w:color w:val="606060"/>
          <w:sz w:val="17"/>
        </w:rPr>
        <w:t>Aprile 2026  |  Strumenti per Professionisti</w:t>
      </w:r>
    </w:p>
    <w:p/>
    <w:p>
      <w:pPr>
        <w:spacing w:after="120"/>
        <w:jc w:val="left"/>
      </w:pPr>
      <w:r>
        <w:rPr>
          <w:rFonts w:ascii="Calibri" w:hAnsi="Calibri"/>
          <w:b/>
          <w:color w:val="1F497D"/>
          <w:sz w:val="48"/>
        </w:rPr>
        <w:t>AI verticale per lo studio: Normo, MIA e Dyogene a confronto</w:t>
      </w:r>
    </w:p>
    <w:p>
      <w:pPr>
        <w:spacing w:after="200"/>
        <w:jc w:val="left"/>
      </w:pPr>
      <w:r>
        <w:rPr>
          <w:rFonts w:ascii="Calibri" w:hAnsi="Calibri"/>
          <w:i/>
          <w:color w:val="2E74B5"/>
          <w:sz w:val="26"/>
        </w:rPr>
        <w:t>Tre architetture diverse, tre filosofie diverse. Scegliere l’AI verticale giusta per lo studio non significa trovare quella con il punteggio più alto nei test, ma quella che si adatta meglio alla struttura dei propri processi e all’ecosistema gestionale già in uso.</w:t>
      </w:r>
    </w:p>
    <w:p>
      <w:pPr>
        <w:spacing w:after="40" w:before="40"/>
        <w:pBdr>
          <w:bottom w:val="single" w:sz="6" w:space="1" w:color="1F497D"/>
        </w:pBdr>
      </w:pPr>
    </w:p>
    <w:p>
      <w:pPr>
        <w:spacing w:after="320"/>
        <w:jc w:val="left"/>
      </w:pPr>
      <w:r>
        <w:rPr>
          <w:rFonts w:ascii="Calibri" w:hAnsi="Calibri"/>
          <w:color w:val="808080"/>
          <w:sz w:val="18"/>
        </w:rPr>
        <w:t>A cura della Redazione Ratio  •  10 aprile 2026</w:t>
      </w:r>
    </w:p>
    <w:p>
      <w:pPr>
        <w:spacing w:after="160" w:before="0" w:line="320" w:lineRule="exact"/>
        <w:jc w:val="both"/>
      </w:pPr>
      <w:r>
        <w:rPr>
          <w:rFonts w:ascii="Calibri" w:hAnsi="Calibri"/>
          <w:i w:val="0"/>
          <w:sz w:val="22"/>
        </w:rPr>
        <w:t>Il panorama degli strumenti AI dedicati ai professionisti economico-giuridici italiani si è rapidamente popolato. Accanto ai modelli generalisti — ChatGPT, Claude, Gemini — sono emersi strumenti verticali pensati specificamente per commercialisti, avvocati e consulenti del lavoro: sistemi che attingono a basi normative certificate, che citano la fonte esatta di ogni risposta, che si aggiornano al ritmo dei provvedimenti dell’Agenzia delle Entrate. Nel 2026, tre piattaforme in particolare si contendono lo spazio negli studi professionali italiani: Normo, MIA (MySolution Intelligence Advisor) e Dyogene.</w:t>
      </w:r>
    </w:p>
    <w:p>
      <w:pPr>
        <w:spacing w:after="160" w:before="0" w:line="320" w:lineRule="exact"/>
        <w:jc w:val="both"/>
      </w:pPr>
      <w:r>
        <w:rPr>
          <w:rFonts w:ascii="Calibri" w:hAnsi="Calibri"/>
          <w:i w:val="0"/>
          <w:sz w:val="22"/>
        </w:rPr>
        <w:t>La scelta tra queste tre soluzioni non è semplicemente una questione di funzionalità: è una questione di architettura. Ognuna è costruita su una logica diversa, risponde a un’esigenza diversa e si integra in modo diverso con i flussi di lavoro dello studio. Capire questa differenza è il presupposto per una scelta utile.</w:t>
      </w:r>
    </w:p>
    <w:p>
      <w:pPr>
        <w:spacing w:before="280" w:after="120"/>
      </w:pPr>
      <w:r>
        <w:rPr>
          <w:rFonts w:ascii="Calibri" w:hAnsi="Calibri"/>
          <w:b/>
          <w:color w:val="1F497D"/>
          <w:sz w:val="26"/>
        </w:rPr>
        <w:t>Normo: il copilota integrato nell’ecosistema gestionale</w:t>
      </w:r>
    </w:p>
    <w:p>
      <w:pPr>
        <w:spacing w:after="160" w:before="0" w:line="320" w:lineRule="exact"/>
        <w:jc w:val="both"/>
      </w:pPr>
      <w:r>
        <w:rPr>
          <w:rFonts w:ascii="Calibri" w:hAnsi="Calibri"/>
          <w:i w:val="0"/>
          <w:sz w:val="22"/>
        </w:rPr>
        <w:t>Normo nasce come assistente conversazionale verticale per l’ambito fiscale, contabile e del lavoro. Risponde a quesiti in linguaggio naturale attingendo a una base documentale aggiornata quotidianamente: leggi, circolari, prassi dell’Agenzia delle Entrate, giurisprudenza tributaria. Ogni risposta cita la fonte normativa esatta, riducendo il rischio di allucinazioni che caratterizza i modelli generalisti quando operano su testi di legge.</w:t>
      </w:r>
    </w:p>
    <w:p>
      <w:pPr>
        <w:spacing w:after="160" w:before="0" w:line="320" w:lineRule="exact"/>
        <w:jc w:val="both"/>
      </w:pPr>
      <w:r>
        <w:rPr>
          <w:rFonts w:ascii="Calibri" w:hAnsi="Calibri"/>
          <w:i w:val="0"/>
          <w:sz w:val="22"/>
        </w:rPr>
        <w:t>La svolta strategica di Normo è arrivata con l’acquisizione da parte di TeamSystem, che ne ha spostato il baricentro verso l’integrazione con i flussi gestionali. Per chi lavora su Profis o Euroconference, Normo diventa un copilota che opera dentro l’ambiente già in uso, senza cambiare strumento. È la scelta più naturale per chi è già radicato nell’ecosistema TeamSystem e cerca un assistente conversazionale che risponda a quesiti fiscali con citazione delle fonti e si integri nei processi esistenti.</w:t>
      </w:r>
    </w:p>
    <w:p>
      <w:pPr>
        <w:spacing w:before="280" w:after="120"/>
      </w:pPr>
      <w:r>
        <w:rPr>
          <w:rFonts w:ascii="Calibri" w:hAnsi="Calibri"/>
          <w:b/>
          <w:color w:val="1F497D"/>
          <w:sz w:val="26"/>
        </w:rPr>
        <w:t>MIA: la banca dati potenziata</w:t>
      </w:r>
    </w:p>
    <w:p>
      <w:pPr>
        <w:spacing w:after="160" w:before="0" w:line="320" w:lineRule="exact"/>
        <w:jc w:val="both"/>
      </w:pPr>
      <w:r>
        <w:rPr>
          <w:rFonts w:ascii="Calibri" w:hAnsi="Calibri"/>
          <w:i w:val="0"/>
          <w:sz w:val="22"/>
        </w:rPr>
        <w:t>MIA — MySolution Intelligence Advisor — è concepita come un sistema di Information Retrieval avanzato: non un chatbot generalista, ma un motore di ricerca intelligente su una banca dati fiscale, societaria e del lavoro certificata. Il punto di forza è la profondità documentale e la capacità di eseguire calcoli specifici — imposte, acconti, scadenze — integrati nelle risposte. Per chi cerca uno strumento di supporto quotidiano per quesiti di routine — verifica di una scadenza, calcolo di un’imposta, ricerca di una circolare specifica — MIA offre velocità e precisione.</w:t>
      </w:r>
    </w:p>
    <w:p>
      <w:pPr>
        <w:spacing w:after="160" w:before="0" w:line="320" w:lineRule="exact"/>
        <w:jc w:val="both"/>
      </w:pPr>
      <w:r>
        <w:rPr>
          <w:rFonts w:ascii="Calibri" w:hAnsi="Calibri"/>
          <w:i w:val="0"/>
          <w:sz w:val="22"/>
        </w:rPr>
        <w:t>Il limite di MIA è la stessa cosa che ne è il pregio: è ottimizzata per la ricerca e il calcolo, non per il ragionamento su casi complessi o la costruzione di analisi multi-fonte. Per un quesito strutturato con più variabili — un’operazione straordinaria con implicazioni fiscali e giuslavoristiche intrecciate — la profondità analitica di MIA può non essere sufficiente.</w:t>
      </w:r>
    </w:p>
    <w:p>
      <w:pPr>
        <w:spacing w:before="280" w:after="120"/>
      </w:pPr>
      <w:r>
        <w:rPr>
          <w:rFonts w:ascii="Calibri" w:hAnsi="Calibri"/>
          <w:b/>
          <w:color w:val="1F497D"/>
          <w:sz w:val="26"/>
        </w:rPr>
        <w:t>Dyogene: dall’analisi all’esecuzione</w:t>
      </w:r>
    </w:p>
    <w:p>
      <w:pPr>
        <w:spacing w:after="160" w:before="0" w:line="320" w:lineRule="exact"/>
        <w:jc w:val="both"/>
      </w:pPr>
      <w:r>
        <w:rPr>
          <w:rFonts w:ascii="Calibri" w:hAnsi="Calibri"/>
          <w:i w:val="0"/>
          <w:sz w:val="22"/>
        </w:rPr>
        <w:t>Dyogene ha un’architettura radicalmente diversa. Non è un assistente conversazionale: è una piattaforma di Business Intelligence e automazione di processo orientata all’esecuzione. Carica direttamente file PDF o XBRL, processa bilanci e produce in automatico la riclassificazione con indicatori finanziari — ROE, ROI, EBITDA margin — più metriche avanzate come il Rating MCC e l’Altman Z-Score, con benchmark settoriali integrati. Il professionista carica il documento; Dyogene restituisce un’analisi strutturata.</w:t>
      </w:r>
    </w:p>
    <w:p>
      <w:pPr>
        <w:spacing w:after="160" w:before="0" w:line="320" w:lineRule="exact"/>
        <w:jc w:val="both"/>
      </w:pPr>
      <w:r>
        <w:rPr>
          <w:rFonts w:ascii="Calibri" w:hAnsi="Calibri"/>
          <w:i w:val="0"/>
          <w:sz w:val="22"/>
        </w:rPr>
        <w:t>La differenza rispetto a Normo e MIA è sintetizzabile così: mentre quelle due eccellono nel “sapere” — rispondere a domande, trovare norme, spiegare concetti — Dyogene eccelle nel “fare”. Processa dati strutturati, produce output pronti all’uso, automatizza fasi del lavoro che altrimenti richiederebbero ore. Per uno studio che fa molta analisi di bilancio, consulenza finanziaria o supporto a operazioni straordinarie, Dyogene è uno strumento che cambia concretamente la produttività.</w:t>
      </w:r>
    </w:p>
    <w:p>
      <w:pPr>
        <w:spacing w:before="280" w:after="120"/>
      </w:pPr>
      <w:r>
        <w:rPr>
          <w:rFonts w:ascii="Calibri" w:hAnsi="Calibri"/>
          <w:b/>
          <w:color w:val="1F497D"/>
          <w:sz w:val="26"/>
        </w:rPr>
        <w:t>Come scegliere: tre domande pratiche</w:t>
      </w:r>
    </w:p>
    <w:p>
      <w:pPr>
        <w:spacing w:after="160" w:before="0" w:line="320" w:lineRule="exact"/>
        <w:jc w:val="both"/>
      </w:pPr>
      <w:r>
        <w:rPr>
          <w:rFonts w:ascii="Calibri" w:hAnsi="Calibri"/>
          <w:i w:val="0"/>
          <w:sz w:val="22"/>
        </w:rPr>
        <w:t>Prima di valutare qualsiasi strumento, vale la pena rispondere a tre domande. La prima: su quale gestionale lavoriamo? Se l’ecosistema è TeamSystem, l’integrazione con Normo è già disponibile e riduce i costi di adozione. La seconda: qual è l’attività che assorbe più tempo nello studio? Se è rispondere a quesiti fiscali di routine, MIA o Normo; se è produrre analisi finanziarie e di bilancio, Dyogene. La terza: vogliamo uno strumento che risponde o uno che esegue? La distinzione è fondamentale e determina l’architettura giusta.</w:t>
      </w:r>
    </w:p>
    <w:p>
      <w:pPr>
        <w:spacing w:after="160" w:before="0" w:line="320" w:lineRule="exact"/>
        <w:jc w:val="both"/>
      </w:pPr>
      <w:r>
        <w:rPr>
          <w:rFonts w:ascii="Calibri" w:hAnsi="Calibri"/>
          <w:i w:val="0"/>
          <w:sz w:val="22"/>
        </w:rPr>
        <w:t>C’è poi un quarto elemento, spesso trascurato: la conformità alla Legge 132/2025, che dal 10 ottobre 2025 impone ai professionisti di comunicare ai clienti l’utilizzo di sistemi AI con linguaggio chiaro e comprensibile. Tutti e tre gli strumenti citati operano su dati forniti dallo studio e non vengono condivisi con terzi per l’addestramento dei modelli, un requisito che è necessario verificare caso per caso con il fornitore del servizio. La compliance AI Act non riguarda solo le grandi imprese: riguarda ogni studio che usa l’AI in modo professionale.</w:t>
      </w:r>
    </w:p>
    <w:p>
      <w:pPr>
        <w:spacing w:after="40" w:before="40"/>
        <w:pBdr>
          <w:bottom w:val="single" w:sz="6" w:space="1" w:color="1F497D"/>
        </w:pBdr>
      </w:pPr>
    </w:p>
    <w:p>
      <w:pPr>
        <w:spacing w:before="200"/>
      </w:pPr>
      <w:r>
        <w:rPr>
          <w:rFonts w:ascii="Calibri" w:hAnsi="Calibri"/>
          <w:b/>
          <w:color w:val="606060"/>
          <w:sz w:val="18"/>
        </w:rPr>
        <w:t>Fonti e riferimenti</w:t>
      </w:r>
    </w:p>
    <w:p>
      <w:pPr>
        <w:spacing w:after="40"/>
      </w:pPr>
      <w:r>
        <w:rPr>
          <w:rFonts w:ascii="Calibri" w:hAnsi="Calibri"/>
          <w:color w:val="606060"/>
          <w:sz w:val="17"/>
        </w:rPr>
        <w:t>• Tuttotek.it — AI per commercialisti nel 2026: Normo, Dyogene, MIA, quale è la migliore?</w:t>
      </w:r>
    </w:p>
    <w:p>
      <w:pPr>
        <w:spacing w:after="40"/>
      </w:pPr>
      <w:r>
        <w:rPr>
          <w:rFonts w:ascii="Calibri" w:hAnsi="Calibri"/>
          <w:color w:val="606060"/>
          <w:sz w:val="17"/>
        </w:rPr>
        <w:t>• ItaliaOggi — Intelligenza artificiale per commercialisti: la specializzazione verticale (2026)</w:t>
      </w:r>
    </w:p>
    <w:p>
      <w:pPr>
        <w:spacing w:after="40"/>
      </w:pPr>
      <w:r>
        <w:rPr>
          <w:rFonts w:ascii="Calibri" w:hAnsi="Calibri"/>
          <w:color w:val="606060"/>
          <w:sz w:val="17"/>
        </w:rPr>
        <w:t>• Techbusiness.it — Dyogene: la nuova AI per contabili e consulenti</w:t>
      </w:r>
    </w:p>
    <w:p>
      <w:pPr>
        <w:spacing w:after="40"/>
      </w:pPr>
      <w:r>
        <w:rPr>
          <w:rFonts w:ascii="Calibri" w:hAnsi="Calibri"/>
          <w:color w:val="606060"/>
          <w:sz w:val="17"/>
        </w:rPr>
        <w:t>• Normo.ai — Documentazione prodotto e aggiornamenti 2026</w:t>
      </w:r>
    </w:p>
    <w:p>
      <w:pPr>
        <w:spacing w:after="40"/>
      </w:pPr>
      <w:r>
        <w:rPr>
          <w:rFonts w:ascii="Calibri" w:hAnsi="Calibri"/>
          <w:color w:val="606060"/>
          <w:sz w:val="17"/>
        </w:rPr>
        <w:t>• Dyogene.ai — Documentazione prodotto e aggiornamenti 2026</w:t>
      </w:r>
    </w:p>
    <w:p>
      <w:pPr>
        <w:spacing w:after="40"/>
      </w:pPr>
      <w:r>
        <w:rPr>
          <w:rFonts w:ascii="Calibri" w:hAnsi="Calibri"/>
          <w:color w:val="606060"/>
          <w:sz w:val="17"/>
        </w:rPr>
        <w:t>• Legge 23 settembre 2025, n. 132 — art. 13, obblighi di trasparenza per i professionisti</w:t>
      </w:r>
    </w:p>
    <w:p>
      <w:pPr>
        <w:spacing w:before="320"/>
        <w:jc w:val="center"/>
      </w:pPr>
      <w:r>
        <w:rPr>
          <w:rFonts w:ascii="Calibri" w:hAnsi="Calibri"/>
          <w:i/>
          <w:color w:val="A0A0A0"/>
          <w:sz w:val="16"/>
        </w:rPr>
        <w:t>© 2026 Ratio  •  Riproduzione consentita con citazione della fonte</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