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aps/>
          <w:color w:val="1F497D"/>
          <w:sz w:val="18"/>
        </w:rPr>
        <w:t>RATIO  •  Approfondimenti per Professionisti e Imprese</w:t>
      </w:r>
    </w:p>
    <w:p>
      <w:pPr>
        <w:spacing w:after="40" w:before="40"/>
        <w:pBdr>
          <w:bottom w:val="single" w:sz="6" w:space="1" w:color="1F497D"/>
        </w:pBdr>
      </w:pPr>
    </w:p>
    <w:p>
      <w:pPr>
        <w:jc w:val="right"/>
      </w:pPr>
      <w:r>
        <w:rPr>
          <w:rFonts w:ascii="Calibri" w:hAnsi="Calibri"/>
          <w:i/>
          <w:color w:val="606060"/>
          <w:sz w:val="17"/>
        </w:rPr>
        <w:t>Aprile 2026  |  Gestione e Strategia</w:t>
      </w:r>
    </w:p>
    <w:p/>
    <w:p>
      <w:pPr>
        <w:spacing w:after="120"/>
        <w:jc w:val="left"/>
      </w:pPr>
      <w:r>
        <w:rPr>
          <w:rFonts w:ascii="Calibri" w:hAnsi="Calibri"/>
          <w:b/>
          <w:color w:val="1F497D"/>
          <w:sz w:val="48"/>
        </w:rPr>
        <w:t>Il ROI dell’AI per le PMI italiane: dai benchmark alla cassa</w:t>
      </w:r>
    </w:p>
    <w:p>
      <w:pPr>
        <w:spacing w:after="200"/>
        <w:jc w:val="left"/>
      </w:pPr>
      <w:r>
        <w:rPr>
          <w:rFonts w:ascii="Calibri" w:hAnsi="Calibri"/>
          <w:i/>
          <w:color w:val="2E74B5"/>
          <w:sz w:val="26"/>
        </w:rPr>
        <w:t>Il 92% delle aziende early adopter riporta un ritorno positivo sull’investimento in AI. Ma cosa significano questi numeri per una PMI italiana? Come si misura davvero il valore generato, e da dove conviene cominciare?</w:t>
      </w:r>
    </w:p>
    <w:p>
      <w:pPr>
        <w:spacing w:after="40" w:before="40"/>
        <w:pBdr>
          <w:bottom w:val="single" w:sz="6" w:space="1" w:color="1F497D"/>
        </w:pBdr>
      </w:pPr>
    </w:p>
    <w:p>
      <w:pPr>
        <w:spacing w:after="320"/>
        <w:jc w:val="left"/>
      </w:pPr>
      <w:r>
        <w:rPr>
          <w:rFonts w:ascii="Calibri" w:hAnsi="Calibri"/>
          <w:color w:val="808080"/>
          <w:sz w:val="18"/>
        </w:rPr>
        <w:t>A cura della Redazione Ratio  •  10 aprile 2026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Nel dibattito sull’intelligenza artificiale in azienda, i numeri globali sono ormai ovunque. Il 92% delle aziende che ha adottato AI generativa in modo strutturato riporta un ROI positivo, con un ritorno medio del 49% sull’investimento. Il break-even si raggiunge in media tra gli otto e i quattordici mesi. Su un orizzonte triennale, la media aggregata dei progetti AI nelle PMI supera il 340% di ritorno. Sono dati diffusi dalle principali società di analisi di mercato e confermati da survey su campioni di migliaia di aziende in Europa e Nord America.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Il problema di questi numeri è che non dicono nulla di utile finché non vengono contestualizzati. Un ROI del 49% su cosa? In quale settore? Con quale uso specifico dell’AI? Per un imprenditore o un consulente che deve decidere se e dove investire, la domanda non è “l’AI fa guadagnare le aziende?” — la risposta è sì, ma non è questa la domanda giusta. La domanda è: “cosa funziona concretamente in un’azienda come la nostra, con le nostre dimensioni, i nostri processi, le nostre competenze interne?”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6"/>
        </w:rPr>
        <w:t>Dove il ROI è più visibile: i casi italiani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I casi documentati di PMI italiane che hanno misurato il ritorno dell’AI mostrano un pattern ricorrente: il valore più alto si concentra nei processi ad alto volume e bassa variabilità. Uno studio di consulenza fiscale e contabile che ha automatizzato l’estrazione dei dati dalle fatture elettroniche ha misurato un risparmio di quindici ore settimanali di lavoro operativo, l’eliminazione sostanziale degli errori di inserimento e la capacità di gestire il 30% di clienti in più senza aumentare il personale. Con un investimento iniziale di poche migliaia di euro in una soluzione AI dedicata all’estrazione documentale, il break-even è stato raggiunto in meno di sei mesi.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Un’azienda manifatturiera nella lavorazione meccanica ha introdotto un sistema di controllo qualità visivo basato su AI: riduzione dei difetti del 78%, calo degli scarti del 23%, ritorno sull’investimento raggiunto in otto mesi. Una società di distribuzione ha usato AI generativa per automatizzare la stesura delle risposte alle email commerciali standardizzate: il team vendite ha recuperato due ore al giorno a persona, reinvestite in attività di sviluppo commerciale. Casi diversi, dimensioni diverse, settori diversi — ma un elemento comune: si è partiti da un processo specifico con un problema misurabile, non da una strategia AI aziendale.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6"/>
        </w:rPr>
        <w:t>Il divario che ancora esiste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A fronte di questi risultati, il divario tra grandi imprese e PMI nell’adozione dell’AI rimane significativo. Il 71% delle grandi imprese italiane ha avviato almeno un progetto AI strutturato; tra le PMI con meno di cinquanta addetti, la percentuale scende all’8%. Le ragioni sono note: mancanza di competenze interne, incertezza sui costi, difficoltà nell’identificare i fornitori giusti, e — forse la più sottovalutata — assenza di qualcuno che faccia da traduttore tra la tecnologia e i processi aziendali specifici.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Questo è esattamente lo spazio in cui il commercialista o il consulente aziendale può aggiungere valore. Non vendendo soluzioni AI, ma aiutando l’imprenditore a rispondere a tre domande precise: qual è il processo che consuma più ore a basso valore aggiunto? Esiste già uno strumento AI che lo automatizza, o è necessario costruire qualcosa? Come si misurerà il risultato? Se queste tre domande trovano risposta concreta prima di qualsiasi investimento, la probabilità di un ROI positivo aumenta considerevolmente.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6"/>
        </w:rPr>
        <w:t>Come misurare il ROI: un approccio pratico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Misurare il ritorno dell’AI non richiede modelli econometrici complessi. Per la maggior parte dei casi d’uso tipici di una PMI, bastano tre metriche: ore di lavoro risparmiate (convertite in costo orario del personale coinvolto), tasso di errore prima e dopo l’introduzione dello strumento, e capacità aggiuntiva generata — ovvero quante unità di output in più si riesce a produrre con le stesse risorse. A queste si aggiunge, dove applicabile, la velocità di risposta al cliente, un fattore sempre più rilevante in settori dove i tempi di risposta sono diventati un fattore competitivo.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Il punto di partenza è sempre la baseline: misurare il processo così com’è oggi, prima di introdurre qualsiasi strumento. Senza una baseline, non si può misurare nulla. È un passaggio che molte aziende saltano, e che poi rende impossibile dimostrare il valore generato. Il consulente che aiuta il cliente a costruire questa baseline prima dell’investimento fa un lavoro che vale molto più di qualsiasi raccomandazione tecnologica.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6"/>
        </w:rPr>
        <w:t>Il 2026 come anno di svolta per le PMI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Il 2026 è l’anno in cui l’AI esce dalla fase sperimentale per diventare uno strumento operativo quotidiano nelle aziende che scelgono di usarla. I costi dei modelli sono scesi del 90% negli ultimi due anni. Le interfacce sono diventate accessibili. I fornitori di software gestionale stanno integrando funzionalità AI nei prodotti già in uso dalle aziende. Chi aspetta che “la tecnologia maturi” rischia di scoprire che è già matura — e che i concorrenti lo sanno già da un anno.</w:t>
      </w:r>
    </w:p>
    <w:p>
      <w:pPr>
        <w:spacing w:after="40" w:before="40"/>
        <w:pBdr>
          <w:bottom w:val="single" w:sz="6" w:space="1" w:color="1F497D"/>
        </w:pBdr>
      </w:pPr>
    </w:p>
    <w:p>
      <w:pPr>
        <w:spacing w:before="200"/>
      </w:pPr>
      <w:r>
        <w:rPr>
          <w:rFonts w:ascii="Calibri" w:hAnsi="Calibri"/>
          <w:b/>
          <w:color w:val="606060"/>
          <w:sz w:val="18"/>
        </w:rPr>
        <w:t>Fonti e riferimenti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Lineaedp — AI generativa: il 92% delle aziende registra ROI positivo, ritorni medi del 49% (2026)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BitMat — AI generativa: il 92% delle aziende registra un ROI positivo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DeepElse Blog — AI per PMI italiane: guida completa 2026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Paradigma.it — AI generativa nelle PMI: linee guida 2026 per un uso responsabile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ManagementCue — Gli agenti AI in azienda: cosa cambierà davvero nel 2026 per le PMI italiane</w:t>
      </w:r>
    </w:p>
    <w:p>
      <w:pPr>
        <w:spacing w:before="320"/>
        <w:jc w:val="center"/>
      </w:pPr>
      <w:r>
        <w:rPr>
          <w:rFonts w:ascii="Calibri" w:hAnsi="Calibri"/>
          <w:i/>
          <w:color w:val="A0A0A0"/>
          <w:sz w:val="16"/>
        </w:rPr>
        <w:t>© 2026 Ratio  •  Riproduzione consentita con citazione della fonte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