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3BFCF" w14:textId="77777777" w:rsidR="005F7BC4" w:rsidRDefault="005F7BC4" w:rsidP="003376DE">
      <w:pPr>
        <w:jc w:val="both"/>
      </w:pPr>
    </w:p>
    <w:p w14:paraId="2E2253CC" w14:textId="5D304F7B" w:rsidR="005F7BC4" w:rsidRDefault="009742D9" w:rsidP="003D057D">
      <w:pPr>
        <w:pStyle w:val="Titolo1"/>
      </w:pPr>
      <w:r>
        <w:t>Excel per i s</w:t>
      </w:r>
      <w:r w:rsidR="005F7BC4">
        <w:t xml:space="preserve">istemi di allerta </w:t>
      </w:r>
    </w:p>
    <w:p w14:paraId="75F58CA7" w14:textId="77777777" w:rsidR="005F7BC4" w:rsidRDefault="005F7BC4" w:rsidP="003376DE">
      <w:pPr>
        <w:jc w:val="both"/>
      </w:pPr>
    </w:p>
    <w:p w14:paraId="7F5A69F9" w14:textId="4D63A9B4" w:rsidR="009466C5" w:rsidRDefault="007145C6" w:rsidP="003376DE">
      <w:pPr>
        <w:jc w:val="both"/>
      </w:pPr>
      <w:r>
        <w:t xml:space="preserve">Nelle </w:t>
      </w:r>
      <w:r w:rsidR="00AD1E8D" w:rsidRPr="00AD1E8D">
        <w:t>Puntate precedenti abbiamo avuto modo di</w:t>
      </w:r>
      <w:r>
        <w:t xml:space="preserve"> affrontare </w:t>
      </w:r>
      <w:r w:rsidR="00AD1E8D" w:rsidRPr="00AD1E8D">
        <w:t>le funzioni più  utilizzate  i comuni  per la ricerca e selezione dei dati</w:t>
      </w:r>
      <w:r w:rsidR="009466C5">
        <w:t xml:space="preserve">  e per   le somme condizionali. Nel frattempo </w:t>
      </w:r>
      <w:r w:rsidR="00307829">
        <w:t xml:space="preserve">si sono verificati due eventi che hanno sconvolto e sconvolgeranno </w:t>
      </w:r>
      <w:r w:rsidR="0019470D">
        <w:t>la nostra professione</w:t>
      </w:r>
      <w:r w:rsidR="009905AF">
        <w:t>: la fattura elettronica e il codice della crisi d’</w:t>
      </w:r>
      <w:r w:rsidR="003376DE">
        <w:t xml:space="preserve">impresa. Si tratta di </w:t>
      </w:r>
      <w:r w:rsidR="00BF1D46">
        <w:t xml:space="preserve">cambi di prospettiva </w:t>
      </w:r>
      <w:r w:rsidR="00065879">
        <w:t xml:space="preserve">così radicali che se non </w:t>
      </w:r>
      <w:r w:rsidR="00997C1B">
        <w:t>gestiti correttament</w:t>
      </w:r>
      <w:r w:rsidR="00DA2B28">
        <w:t xml:space="preserve">e rischiano di avere un impatto quanto meno destabilizzante. </w:t>
      </w:r>
      <w:r w:rsidR="00244FAB">
        <w:t xml:space="preserve">Se proviamo a vedere questi due cambiamenti sotto una luce diversa possiamo individuare oltre alle succitate minacce anche opportunità altrettanto interessanti e sfidanti. Pur nella loro diversità e ambito entrambe le misure sembrano far tendere la professione verso il controllo di gestione inteso come quella capacità di ricavare degli indirizzi dalla lettura dei dati: la fattura elettronica </w:t>
      </w:r>
      <w:r w:rsidR="00271B5D">
        <w:t xml:space="preserve">contribuisce </w:t>
      </w:r>
      <w:r w:rsidR="00244FAB">
        <w:t xml:space="preserve"> a migliorare la tempestività delle informazioni e in certi casi potrebbe dare la possibilità di analizzare dati che in precedenza erano solo su supporti cartace</w:t>
      </w:r>
      <w:r w:rsidR="00271B5D">
        <w:t>i, il codice della crisi impone</w:t>
      </w:r>
      <w:r w:rsidR="00244FAB">
        <w:t xml:space="preserve"> </w:t>
      </w:r>
      <w:r w:rsidR="00271B5D">
        <w:t>a tutte le aziende, come recita il novellato art. 2086 del codice</w:t>
      </w:r>
      <w:r w:rsidR="00C166CF">
        <w:t xml:space="preserve"> civile, </w:t>
      </w:r>
      <w:r w:rsidR="00EA47E9">
        <w:t>di predisporre un adeguato</w:t>
      </w:r>
      <w:r w:rsidR="00C166CF">
        <w:t xml:space="preserve"> </w:t>
      </w:r>
      <w:r w:rsidR="008C1C12">
        <w:t>“…</w:t>
      </w:r>
      <w:r w:rsidR="00EA47E9">
        <w:t>assetto organizzativo</w:t>
      </w:r>
      <w:r w:rsidR="00C166CF" w:rsidRPr="00C166CF">
        <w:t>, amministrativo e contabile anche in funzione della rilevazione tempestiva della crisi dell'impresa e della perdita della continuità aziendale, nonché di attivarsi senza indugio per l'adozione e l'attuazione di uno degli strumenti previsti dall'ordinamento per il superamento della crisi e il recupero della continuità aziendale</w:t>
      </w:r>
      <w:r w:rsidR="008C1C12">
        <w:t>”</w:t>
      </w:r>
      <w:r w:rsidR="00C166CF" w:rsidRPr="00C166CF">
        <w:t>.</w:t>
      </w:r>
      <w:r w:rsidR="00624F81">
        <w:t xml:space="preserve"> Contemporaneamente e la circostanza non è a mio avviso casuale, </w:t>
      </w:r>
      <w:r w:rsidR="005F7BC4">
        <w:t>è entrato in vigore</w:t>
      </w:r>
      <w:r w:rsidR="00624F81">
        <w:t xml:space="preserve"> </w:t>
      </w:r>
      <w:r w:rsidR="009742D9">
        <w:t>il nuovo modello di scoring del Medio Credito Centrale per l’eleggibilità al Fondo di garanzia che, rispetto al precedente, presenta più indici con gradi di giudizio più ampi e ambiti diversificati per settore di appartenenza.</w:t>
      </w:r>
    </w:p>
    <w:p w14:paraId="0B7346D6" w14:textId="474C44FD" w:rsidR="009742D9" w:rsidRDefault="009742D9" w:rsidP="003376DE">
      <w:pPr>
        <w:jc w:val="both"/>
      </w:pPr>
      <w:r>
        <w:t>Cosa c’entra Excel con tutto questo? Ogni volta che parliamo di dati e di analisi, un buon utilizzo di Excel può fare la differenza in termini di tempo e soprattutto di qualità del lavoro. A dimostrazione di quanto appena affermato, in questo articolo aff</w:t>
      </w:r>
      <w:r w:rsidR="00660E09">
        <w:t>ronteremo il tema dello scoring</w:t>
      </w:r>
      <w:r w:rsidR="00E4356D">
        <w:t xml:space="preserve"> e vedremo come </w:t>
      </w:r>
      <w:r w:rsidR="00956BDB">
        <w:t xml:space="preserve">gestire </w:t>
      </w:r>
      <w:r w:rsidR="00F51142">
        <w:t>al meglio i giudizi</w:t>
      </w:r>
      <w:r w:rsidR="005A240B">
        <w:t xml:space="preserve"> </w:t>
      </w:r>
      <w:r w:rsidR="00424C1A">
        <w:t xml:space="preserve">ad un indice in base a una scala di valori. </w:t>
      </w:r>
      <w:r>
        <w:t xml:space="preserve"> </w:t>
      </w:r>
    </w:p>
    <w:p w14:paraId="0D603C5D" w14:textId="0A1CF29C" w:rsidR="00AD1E8D" w:rsidRDefault="00424C1A" w:rsidP="003B5A55">
      <w:pPr>
        <w:jc w:val="both"/>
      </w:pPr>
      <w:r>
        <w:t xml:space="preserve">Per farlo </w:t>
      </w:r>
      <w:r w:rsidR="005A1159">
        <w:t>ci avvarremo di</w:t>
      </w:r>
      <w:r>
        <w:t xml:space="preserve"> </w:t>
      </w:r>
      <w:r w:rsidR="00AD1E8D" w:rsidRPr="00AD1E8D">
        <w:t>alcune  funzioni estremamente u</w:t>
      </w:r>
      <w:r w:rsidR="005A1159">
        <w:t>tili anche se meno  conosciute</w:t>
      </w:r>
      <w:r w:rsidR="00AD1E8D">
        <w:t>:</w:t>
      </w:r>
      <w:r w:rsidR="00AD1E8D" w:rsidRPr="00AD1E8D">
        <w:t xml:space="preserve"> v</w:t>
      </w:r>
      <w:r w:rsidR="00155EDF">
        <w:t xml:space="preserve">edremo allora </w:t>
      </w:r>
      <w:proofErr w:type="spellStart"/>
      <w:r w:rsidR="00155EDF">
        <w:t>lE</w:t>
      </w:r>
      <w:proofErr w:type="spellEnd"/>
      <w:r w:rsidR="00155EDF">
        <w:t xml:space="preserve"> funzioni</w:t>
      </w:r>
      <w:r w:rsidR="003B5A55">
        <w:t xml:space="preserve"> SCARTO()</w:t>
      </w:r>
      <w:r w:rsidR="00155EDF">
        <w:t>, CONFRONTA(), INDICE() e INDIRETTO(), impareremo anche a migliorare graficamente i nostri Dashboard con immagini dinamiche, aggiungendo utensili preziosi all</w:t>
      </w:r>
      <w:r w:rsidR="00AD1E8D" w:rsidRPr="00AD1E8D">
        <w:t xml:space="preserve">a cassetto degli attrezzi del data </w:t>
      </w:r>
      <w:proofErr w:type="spellStart"/>
      <w:r w:rsidR="00AD1E8D" w:rsidRPr="00AD1E8D">
        <w:t>analyst</w:t>
      </w:r>
      <w:proofErr w:type="spellEnd"/>
      <w:r w:rsidR="00AD1E8D">
        <w:t xml:space="preserve">. </w:t>
      </w:r>
      <w:r w:rsidR="00AD1E8D" w:rsidRPr="00AD1E8D">
        <w:t xml:space="preserve"> </w:t>
      </w:r>
    </w:p>
    <w:p w14:paraId="31F98D6A" w14:textId="77777777" w:rsidR="00155EDF" w:rsidRDefault="00155EDF"/>
    <w:p w14:paraId="4DB2E8FC" w14:textId="63A0DE57" w:rsidR="00155EDF" w:rsidRDefault="00155EDF" w:rsidP="003D057D">
      <w:pPr>
        <w:pStyle w:val="Titolo2"/>
      </w:pPr>
      <w:r>
        <w:t>LA FUNZIONE CONFRONTA()</w:t>
      </w:r>
    </w:p>
    <w:p w14:paraId="33B7D80D" w14:textId="359F1527" w:rsidR="00964EA3" w:rsidRDefault="001944DA" w:rsidP="007F44C5">
      <w:pPr>
        <w:jc w:val="both"/>
      </w:pPr>
      <w:r>
        <w:t xml:space="preserve">Quando abbiamo affrontato il CERCA.VERT() abbiamo messo in </w:t>
      </w:r>
      <w:r w:rsidR="007F44C5">
        <w:t xml:space="preserve">guardia dagli effetti indesiderati che si ottengono se </w:t>
      </w:r>
      <w:r w:rsidR="00486AEA">
        <w:t>aggiungiamo una colonna nella ta</w:t>
      </w:r>
      <w:r w:rsidR="00964EA3">
        <w:t>bella che abbiamo collegato. Osserviamo il seguente esempio</w:t>
      </w:r>
    </w:p>
    <w:p w14:paraId="5DA3A96E" w14:textId="48E5A52E" w:rsidR="001117D5" w:rsidRDefault="001117D5" w:rsidP="007F44C5">
      <w:pPr>
        <w:jc w:val="both"/>
      </w:pPr>
      <w:r>
        <w:t>…</w:t>
      </w:r>
    </w:p>
    <w:p w14:paraId="6AA7C4FD" w14:textId="2981EB46" w:rsidR="001117D5" w:rsidRDefault="001117D5" w:rsidP="007F44C5">
      <w:pPr>
        <w:jc w:val="both"/>
      </w:pPr>
      <w:r>
        <w:t>…</w:t>
      </w:r>
    </w:p>
    <w:p w14:paraId="60FB1813" w14:textId="77777777" w:rsidR="00D30852" w:rsidRDefault="000B4695" w:rsidP="007F44C5">
      <w:pPr>
        <w:jc w:val="both"/>
      </w:pPr>
      <w:r>
        <w:t xml:space="preserve">Nella Tabella 1 abbiamo le vendite per Cliente nella </w:t>
      </w:r>
      <w:r w:rsidR="008B31D1">
        <w:t xml:space="preserve">Tabella 2 L’anagrafica Clienti ci serve </w:t>
      </w:r>
      <w:r w:rsidR="00956432">
        <w:t xml:space="preserve">riportare </w:t>
      </w:r>
      <w:r w:rsidR="008B31D1">
        <w:t>la nazione</w:t>
      </w:r>
      <w:r w:rsidR="00956432">
        <w:t xml:space="preserve"> nella Tabella 2. Niente di più facile basta collegare i campi Id con la formula </w:t>
      </w:r>
    </w:p>
    <w:p w14:paraId="2319CE21" w14:textId="77777777" w:rsidR="00D30852" w:rsidRDefault="00D30852" w:rsidP="007F44C5">
      <w:pPr>
        <w:jc w:val="both"/>
      </w:pPr>
      <w:r>
        <w:t xml:space="preserve">CERCA.VERT(…) </w:t>
      </w:r>
    </w:p>
    <w:p w14:paraId="4EE801EF" w14:textId="2B41E381" w:rsidR="00964EA3" w:rsidRDefault="00702BC1" w:rsidP="007F44C5">
      <w:pPr>
        <w:jc w:val="both"/>
      </w:pPr>
      <w:r>
        <w:t>S</w:t>
      </w:r>
      <w:r w:rsidR="00D30852">
        <w:t xml:space="preserve">e </w:t>
      </w:r>
      <w:r w:rsidR="004F0FA0">
        <w:t xml:space="preserve">aggiungiamo la colonna </w:t>
      </w:r>
      <w:r w:rsidR="00C4668F">
        <w:t xml:space="preserve">partita Iva </w:t>
      </w:r>
      <w:r>
        <w:t>tra la colonna … e la colonna …</w:t>
      </w:r>
      <w:r w:rsidR="008B31D1">
        <w:t xml:space="preserve"> </w:t>
      </w:r>
      <w:r w:rsidR="000B4695">
        <w:t xml:space="preserve"> </w:t>
      </w:r>
      <w:r>
        <w:t xml:space="preserve">la formula però </w:t>
      </w:r>
      <w:r w:rsidR="001117D5">
        <w:t>restituisce un risultato indesiderato.</w:t>
      </w:r>
    </w:p>
    <w:p w14:paraId="3CC34BDB" w14:textId="783BACEF" w:rsidR="001117D5" w:rsidRDefault="001117D5" w:rsidP="007F44C5">
      <w:pPr>
        <w:jc w:val="both"/>
      </w:pPr>
      <w:r>
        <w:t>…</w:t>
      </w:r>
    </w:p>
    <w:p w14:paraId="24665007" w14:textId="3B5226BD" w:rsidR="001117D5" w:rsidRDefault="001117D5" w:rsidP="007F44C5">
      <w:pPr>
        <w:jc w:val="both"/>
      </w:pPr>
      <w:r>
        <w:t>…</w:t>
      </w:r>
    </w:p>
    <w:p w14:paraId="04D88311" w14:textId="77777777" w:rsidR="00A45EDD" w:rsidRDefault="00600812" w:rsidP="007F44C5">
      <w:pPr>
        <w:jc w:val="both"/>
      </w:pPr>
      <w:r>
        <w:lastRenderedPageBreak/>
        <w:t xml:space="preserve">Il risultato era prevedibile: la funzione … restituisce sempre la terza colonna e ora nella terza colonna c’è la partita IVA mentre la nazione occupa </w:t>
      </w:r>
      <w:r w:rsidR="00461E36">
        <w:t xml:space="preserve">ora </w:t>
      </w:r>
      <w:r>
        <w:t>la quarta colonna.</w:t>
      </w:r>
      <w:r w:rsidR="00A22541">
        <w:t xml:space="preserve"> Occorre</w:t>
      </w:r>
      <w:r w:rsidR="00930DFB">
        <w:t xml:space="preserve"> una funzione che in</w:t>
      </w:r>
      <w:r w:rsidR="002F3494">
        <w:t xml:space="preserve">dividui </w:t>
      </w:r>
      <w:r w:rsidR="00C33766">
        <w:t>la posizione di un determinato elemento in un elenco</w:t>
      </w:r>
      <w:r w:rsidR="00A45EDD">
        <w:t>, questa funzione è appunto CONFRONTA()</w:t>
      </w:r>
    </w:p>
    <w:p w14:paraId="7F88155D" w14:textId="77777777" w:rsidR="00FB5581" w:rsidRDefault="00A45EDD" w:rsidP="007F44C5">
      <w:pPr>
        <w:jc w:val="both"/>
      </w:pPr>
      <w:r>
        <w:t>CONFRONTA() è una funzione con tre argomenti (</w:t>
      </w:r>
      <w:r w:rsidR="00FB5581">
        <w:t>di cui due obbligatori):</w:t>
      </w:r>
    </w:p>
    <w:p w14:paraId="600318BA" w14:textId="77777777" w:rsidR="007E66E4" w:rsidRDefault="00FB5581" w:rsidP="007F44C5">
      <w:pPr>
        <w:jc w:val="both"/>
      </w:pPr>
      <w:r w:rsidRPr="007E66E4">
        <w:rPr>
          <w:b/>
        </w:rPr>
        <w:t>Valore</w:t>
      </w:r>
      <w:r>
        <w:t xml:space="preserve">: è il valore di cui </w:t>
      </w:r>
      <w:r w:rsidR="00737CAD">
        <w:t>si intende t</w:t>
      </w:r>
      <w:r w:rsidR="007E66E4">
        <w:t>rovare la posizione: se confrontassimo la lettera C in un elenco che contiene l’alfabeto otterremmo 3</w:t>
      </w:r>
    </w:p>
    <w:p w14:paraId="18FBDF87" w14:textId="694A34A6" w:rsidR="00930DFB" w:rsidRDefault="007E66E4" w:rsidP="007F44C5">
      <w:pPr>
        <w:jc w:val="both"/>
      </w:pPr>
      <w:r w:rsidRPr="007E66E4">
        <w:rPr>
          <w:b/>
        </w:rPr>
        <w:t>Matrice</w:t>
      </w:r>
      <w:r w:rsidR="00F242C0" w:rsidRPr="007E66E4">
        <w:rPr>
          <w:b/>
        </w:rPr>
        <w:t xml:space="preserve"> </w:t>
      </w:r>
      <w:r>
        <w:t xml:space="preserve">è l’elenco in cui </w:t>
      </w:r>
      <w:r w:rsidR="00075A0C">
        <w:t xml:space="preserve">va ricercato il valore </w:t>
      </w:r>
      <w:r w:rsidR="001507D2">
        <w:t>(nell’esempio precedente l’alfabeto)</w:t>
      </w:r>
      <w:r w:rsidR="002D5E16">
        <w:t xml:space="preserve"> può essere disposto in verticale o in orizzontale</w:t>
      </w:r>
      <w:r w:rsidR="001507D2">
        <w:t xml:space="preserve"> </w:t>
      </w:r>
    </w:p>
    <w:p w14:paraId="4648B9FC" w14:textId="69183AAF" w:rsidR="00B97121" w:rsidRDefault="00F4321B" w:rsidP="007F44C5">
      <w:pPr>
        <w:jc w:val="both"/>
      </w:pPr>
      <w:proofErr w:type="spellStart"/>
      <w:r w:rsidRPr="003D3A1B">
        <w:rPr>
          <w:b/>
        </w:rPr>
        <w:t>Corrisp</w:t>
      </w:r>
      <w:proofErr w:type="spellEnd"/>
      <w:r w:rsidR="003D3A1B">
        <w:rPr>
          <w:b/>
        </w:rPr>
        <w:t xml:space="preserve"> </w:t>
      </w:r>
      <w:r w:rsidR="003D3A1B">
        <w:t xml:space="preserve">è il tipo di approssimazione che si è disposti ad </w:t>
      </w:r>
      <w:r w:rsidR="00142872">
        <w:t xml:space="preserve">accettare nella ricerca: 0 indica la corrispondenza </w:t>
      </w:r>
      <w:r w:rsidR="00D8376E">
        <w:t>esatta,</w:t>
      </w:r>
      <w:r w:rsidR="00515547">
        <w:t xml:space="preserve"> 1 </w:t>
      </w:r>
      <w:r w:rsidR="00034E2C">
        <w:t>restituisce il minore dei maggiori o uguali</w:t>
      </w:r>
      <w:r w:rsidR="00515547">
        <w:t>, -1</w:t>
      </w:r>
      <w:r w:rsidR="00515547" w:rsidRPr="00515547">
        <w:t xml:space="preserve"> </w:t>
      </w:r>
      <w:r w:rsidR="00034E2C">
        <w:t>restituisce il maggiore dei minori o uguali.</w:t>
      </w:r>
      <w:r w:rsidR="002D5E16">
        <w:t xml:space="preserve"> Se il campo è omesso l’argomento si intende impostato su 1.</w:t>
      </w:r>
    </w:p>
    <w:p w14:paraId="460B49D9" w14:textId="5ED2B136" w:rsidR="00170F9E" w:rsidRDefault="00441DE3" w:rsidP="007F44C5">
      <w:pPr>
        <w:jc w:val="both"/>
      </w:pPr>
      <w:r>
        <w:t>Vediamo un’applicazione</w:t>
      </w:r>
      <w:r w:rsidR="002D5E16">
        <w:t>\</w:t>
      </w:r>
      <w:r>
        <w:t xml:space="preserve"> </w:t>
      </w:r>
      <w:r w:rsidR="007845C7">
        <w:t>proprio agli indici di bilancio</w:t>
      </w:r>
    </w:p>
    <w:p w14:paraId="0C7DD9C3" w14:textId="741D37B0" w:rsidR="007845C7" w:rsidRDefault="007845C7" w:rsidP="007F44C5">
      <w:pPr>
        <w:jc w:val="both"/>
      </w:pPr>
      <w:r>
        <w:t xml:space="preserve">Secondo le disposizioni operative … </w:t>
      </w:r>
      <w:r w:rsidR="008D0D0A">
        <w:t>l’indice V1 Debiti a breve su fatturato</w:t>
      </w:r>
      <w:r w:rsidR="00875FCC">
        <w:t>, p</w:t>
      </w:r>
      <w:r w:rsidR="00DA76A6">
        <w:t>uò essere giudicato secondo la seguente scala di valori</w:t>
      </w:r>
    </w:p>
    <w:p w14:paraId="1FEE6136" w14:textId="76CAD09F" w:rsidR="00DA76A6" w:rsidRDefault="00DA76A6" w:rsidP="007F44C5">
      <w:pPr>
        <w:jc w:val="both"/>
      </w:pPr>
      <w:r>
        <w:t>…</w:t>
      </w:r>
    </w:p>
    <w:p w14:paraId="5DB26529" w14:textId="24629490" w:rsidR="00DA76A6" w:rsidRDefault="00DA76A6" w:rsidP="007F44C5">
      <w:pPr>
        <w:jc w:val="both"/>
      </w:pPr>
      <w:r>
        <w:t>…</w:t>
      </w:r>
    </w:p>
    <w:p w14:paraId="1B45535C" w14:textId="77777777" w:rsidR="002D5E16" w:rsidRDefault="00DA76A6" w:rsidP="007F44C5">
      <w:pPr>
        <w:jc w:val="both"/>
      </w:pPr>
      <w:r>
        <w:t xml:space="preserve">Se assegniamo </w:t>
      </w:r>
      <w:r w:rsidR="009676D5">
        <w:t xml:space="preserve">il punteggio 1 a Basso e 5 ad Alto basterà </w:t>
      </w:r>
      <w:r w:rsidR="002D5E16">
        <w:t>usare la funzione CONFRONTA(…) per ottenere il risultato desiderato</w:t>
      </w:r>
    </w:p>
    <w:p w14:paraId="3158403E" w14:textId="77777777" w:rsidR="002D5E16" w:rsidRDefault="002D5E16" w:rsidP="007F44C5">
      <w:pPr>
        <w:jc w:val="both"/>
      </w:pPr>
      <w:r>
        <w:t>…</w:t>
      </w:r>
    </w:p>
    <w:p w14:paraId="1EDA5B5E" w14:textId="77777777" w:rsidR="002D5E16" w:rsidRDefault="002D5E16" w:rsidP="007F44C5">
      <w:pPr>
        <w:jc w:val="both"/>
      </w:pPr>
      <w:r>
        <w:t>…</w:t>
      </w:r>
    </w:p>
    <w:p w14:paraId="42087BC7" w14:textId="59A8DBAA" w:rsidR="002D5E16" w:rsidRDefault="002D5E16" w:rsidP="007F44C5">
      <w:pPr>
        <w:jc w:val="both"/>
      </w:pPr>
      <w:r>
        <w:t xml:space="preserve">Si noti che abbiamo omesso l’argomento </w:t>
      </w:r>
      <w:proofErr w:type="spellStart"/>
      <w:r w:rsidRPr="002D5E16">
        <w:rPr>
          <w:b/>
        </w:rPr>
        <w:t>Corrisp</w:t>
      </w:r>
      <w:proofErr w:type="spellEnd"/>
      <w:r w:rsidR="009F5291">
        <w:rPr>
          <w:b/>
        </w:rPr>
        <w:t xml:space="preserve"> </w:t>
      </w:r>
      <w:r w:rsidR="009F5291">
        <w:t xml:space="preserve">per ottenere il valore </w:t>
      </w:r>
      <w:r w:rsidR="005C1646">
        <w:t xml:space="preserve">compreso tra un </w:t>
      </w:r>
      <w:r w:rsidR="007C7A06">
        <w:t>valore e l’altro della scala di valutazione</w:t>
      </w:r>
      <w:r w:rsidR="004D0C9A">
        <w:t>.</w:t>
      </w:r>
    </w:p>
    <w:p w14:paraId="179F69C1" w14:textId="47C7CD51" w:rsidR="004D0C9A" w:rsidRDefault="004D0C9A" w:rsidP="007F44C5">
      <w:pPr>
        <w:jc w:val="both"/>
      </w:pPr>
      <w:r>
        <w:t xml:space="preserve">Ora grazie al confronta possiamo rendere la funzione CERCA.VERT() </w:t>
      </w:r>
      <w:r w:rsidR="00185FA2">
        <w:t>più so</w:t>
      </w:r>
      <w:r w:rsidR="006E29E6">
        <w:t>lida se nella Tabella 1 dell’esempio precedente riscriviamo la funzione CERCA.VERT() con CERCA.VERT(..;…;CONFRONTA()) abbiamo superato ogni problema di allargamento della tabella e slittamento campi. Ora infatti la funzione cercherà il valore … nella matrice … e restituirà sempre la colonna che corrisponde alla posizione in cui si trova la parola … rispetto all’intestazione; se aggiungiamo colonne la posizione si sposta e l’indice di conseguenza restituendo quindi sempre il medesimo risultato.</w:t>
      </w:r>
    </w:p>
    <w:p w14:paraId="571C79A3" w14:textId="65BFE60C" w:rsidR="00177531" w:rsidRDefault="00177531" w:rsidP="007F44C5">
      <w:pPr>
        <w:jc w:val="both"/>
      </w:pPr>
      <w:r>
        <w:t>La funzione CON</w:t>
      </w:r>
      <w:r w:rsidR="000C0273">
        <w:t xml:space="preserve">FRONTA() è spesso utilizzata insieme ad altre funzioni e l’accoppiata più </w:t>
      </w:r>
      <w:r w:rsidR="0033491B">
        <w:t>riuscita</w:t>
      </w:r>
      <w:r w:rsidR="003D057D">
        <w:t xml:space="preserve"> e celebre</w:t>
      </w:r>
      <w:r w:rsidR="0033491B">
        <w:t xml:space="preserve"> è proprio con la </w:t>
      </w:r>
      <w:r w:rsidR="003D057D">
        <w:t>funzione INDICE().</w:t>
      </w:r>
    </w:p>
    <w:p w14:paraId="6120AB27" w14:textId="34B46966" w:rsidR="003D057D" w:rsidRDefault="003D057D" w:rsidP="003D057D">
      <w:pPr>
        <w:pStyle w:val="Titolo2"/>
      </w:pPr>
      <w:r>
        <w:t xml:space="preserve">LA FUNZIONE </w:t>
      </w:r>
      <w:r>
        <w:t>INDICE</w:t>
      </w:r>
      <w:r>
        <w:t>()</w:t>
      </w:r>
    </w:p>
    <w:p w14:paraId="319A3958" w14:textId="080820FD" w:rsidR="00177531" w:rsidRDefault="00343E86" w:rsidP="007F44C5">
      <w:pPr>
        <w:jc w:val="both"/>
      </w:pPr>
      <w:r>
        <w:t xml:space="preserve">La funzione INDICE() combinata con </w:t>
      </w:r>
      <w:r w:rsidR="00167D8D">
        <w:t xml:space="preserve">la funzione CONFRONTA(), INDEX() MATCH() per gli anglosassoni, </w:t>
      </w:r>
      <w:r w:rsidR="00195D6B">
        <w:t xml:space="preserve">è tra le più amate dagli </w:t>
      </w:r>
      <w:r w:rsidR="00164379">
        <w:t>“</w:t>
      </w:r>
      <w:r w:rsidR="00195D6B">
        <w:t>Excel Ninja</w:t>
      </w:r>
      <w:r w:rsidR="00164379">
        <w:t>”</w:t>
      </w:r>
      <w:r w:rsidR="0024484A">
        <w:t xml:space="preserve"> tanto da prendere spesso il posto della funzione </w:t>
      </w:r>
      <w:r w:rsidR="00B47518">
        <w:t xml:space="preserve">CERCA.VERT() </w:t>
      </w:r>
      <w:r w:rsidR="00634DF6">
        <w:t>nelle preferenze di utili</w:t>
      </w:r>
      <w:r w:rsidR="00554475">
        <w:t xml:space="preserve">zzo. </w:t>
      </w:r>
      <w:r w:rsidR="00825BAB">
        <w:t xml:space="preserve">Affrontiamo un passo alla volta, come sempre e </w:t>
      </w:r>
      <w:r w:rsidR="004A4B49">
        <w:t>tutto sembrerà più facile.</w:t>
      </w:r>
    </w:p>
    <w:p w14:paraId="6284D1AD" w14:textId="709A4AD1" w:rsidR="00E70C2A" w:rsidRDefault="00E70C2A" w:rsidP="007F44C5">
      <w:pPr>
        <w:jc w:val="both"/>
      </w:pPr>
      <w:r>
        <w:t xml:space="preserve">La funzione </w:t>
      </w:r>
      <w:r w:rsidR="0086203A">
        <w:t xml:space="preserve">è di per </w:t>
      </w:r>
      <w:r w:rsidR="006A6C2C">
        <w:t xml:space="preserve">sé </w:t>
      </w:r>
      <w:r w:rsidR="00B47D4F">
        <w:t>elementare</w:t>
      </w:r>
      <w:r w:rsidR="006A6C2C">
        <w:t>:</w:t>
      </w:r>
      <w:r w:rsidR="00B47D4F">
        <w:t xml:space="preserve"> si definisce un insieme di celle, matrice, </w:t>
      </w:r>
      <w:r w:rsidR="00E05F6F">
        <w:t>e si individua una cella all’interno fornendo</w:t>
      </w:r>
      <w:r w:rsidR="003A2A61">
        <w:t xml:space="preserve"> i riferimenti di riga e di colonna</w:t>
      </w:r>
      <w:r w:rsidR="00421988">
        <w:t>.</w:t>
      </w:r>
    </w:p>
    <w:p w14:paraId="6A353613" w14:textId="6F8FF344" w:rsidR="00421988" w:rsidRDefault="00421988" w:rsidP="007F44C5">
      <w:pPr>
        <w:jc w:val="both"/>
      </w:pPr>
      <w:r>
        <w:rPr>
          <w:noProof/>
        </w:rPr>
        <w:lastRenderedPageBreak/>
        <w:drawing>
          <wp:inline distT="0" distB="0" distL="0" distR="0" wp14:anchorId="007468ED" wp14:editId="5EBF59F8">
            <wp:extent cx="2856981" cy="1778875"/>
            <wp:effectExtent l="0" t="0" r="63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1950" cy="17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9D1" w14:textId="39A8D23F" w:rsidR="003A2A61" w:rsidRDefault="00125CFC" w:rsidP="007F44C5">
      <w:pPr>
        <w:jc w:val="both"/>
      </w:pPr>
      <w:r>
        <w:t xml:space="preserve">Se digitiamo +INDICE( in una cella ci accorgiamo che sono previste 2 </w:t>
      </w:r>
      <w:r w:rsidR="00CC2043">
        <w:t>forme differenti.</w:t>
      </w:r>
    </w:p>
    <w:p w14:paraId="25275E5A" w14:textId="625480C7" w:rsidR="00CC2043" w:rsidRDefault="00C87579" w:rsidP="007F44C5">
      <w:pPr>
        <w:jc w:val="both"/>
      </w:pPr>
      <w:r>
        <w:rPr>
          <w:noProof/>
        </w:rPr>
        <w:drawing>
          <wp:inline distT="0" distB="0" distL="0" distR="0" wp14:anchorId="5EDD30C7" wp14:editId="56909A18">
            <wp:extent cx="1681655" cy="622597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3701" cy="63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A2BA" w14:textId="6114164B" w:rsidR="003A2A61" w:rsidRDefault="00A41057" w:rsidP="007F44C5">
      <w:pPr>
        <w:jc w:val="both"/>
      </w:pPr>
      <w:r>
        <w:t xml:space="preserve">La </w:t>
      </w:r>
      <w:r w:rsidR="00DB77CD">
        <w:t xml:space="preserve">seconda forma, meno utilizzata, </w:t>
      </w:r>
      <w:r w:rsidR="009B0544">
        <w:t>serve in presenza di matrici multiple</w:t>
      </w:r>
      <w:r w:rsidR="008C6F80">
        <w:t>; nella prima sintassi gli argomenti assumono il seguente significato.</w:t>
      </w:r>
    </w:p>
    <w:p w14:paraId="5AA81994" w14:textId="77777777" w:rsidR="008C6F80" w:rsidRDefault="008C6F80" w:rsidP="007F44C5">
      <w:pPr>
        <w:jc w:val="both"/>
      </w:pPr>
      <w:bookmarkStart w:id="0" w:name="_GoBack"/>
      <w:bookmarkEnd w:id="0"/>
    </w:p>
    <w:p w14:paraId="3AE63BF7" w14:textId="476AAD3D" w:rsidR="008C0D5D" w:rsidRDefault="008C0D5D" w:rsidP="007F44C5">
      <w:pPr>
        <w:jc w:val="both"/>
      </w:pPr>
      <w:r>
        <w:t xml:space="preserve">Nel modello del Mediocredito centrale </w:t>
      </w:r>
    </w:p>
    <w:p w14:paraId="41B42821" w14:textId="77777777" w:rsidR="00BE74AC" w:rsidRPr="009F5291" w:rsidRDefault="00BE74AC" w:rsidP="007F44C5">
      <w:pPr>
        <w:jc w:val="both"/>
      </w:pPr>
    </w:p>
    <w:p w14:paraId="41155A09" w14:textId="39EFDD45" w:rsidR="002D5E16" w:rsidRDefault="002D5E16" w:rsidP="007F44C5">
      <w:pPr>
        <w:jc w:val="both"/>
      </w:pPr>
      <w:r>
        <w:t xml:space="preserve"> </w:t>
      </w:r>
    </w:p>
    <w:p w14:paraId="0E34300C" w14:textId="77777777" w:rsidR="00D8376E" w:rsidRDefault="00D8376E" w:rsidP="007F44C5">
      <w:pPr>
        <w:jc w:val="both"/>
      </w:pPr>
    </w:p>
    <w:p w14:paraId="14221D03" w14:textId="77777777" w:rsidR="00D8376E" w:rsidRPr="003D3A1B" w:rsidRDefault="00D8376E" w:rsidP="007F44C5">
      <w:pPr>
        <w:jc w:val="both"/>
      </w:pPr>
    </w:p>
    <w:p w14:paraId="59A4F960" w14:textId="73142915" w:rsidR="001117D5" w:rsidRDefault="001117D5" w:rsidP="007F44C5">
      <w:pPr>
        <w:jc w:val="both"/>
      </w:pPr>
      <w:r>
        <w:t xml:space="preserve"> </w:t>
      </w:r>
    </w:p>
    <w:p w14:paraId="397227C5" w14:textId="06DB734F" w:rsidR="000C5E59" w:rsidRDefault="00AD1E8D">
      <w:r w:rsidRPr="00AD1E8D">
        <w:t xml:space="preserve"> </w:t>
      </w:r>
    </w:p>
    <w:sectPr w:rsidR="000C5E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E8D"/>
    <w:rsid w:val="00034E2C"/>
    <w:rsid w:val="00065879"/>
    <w:rsid w:val="00075A0C"/>
    <w:rsid w:val="000B4695"/>
    <w:rsid w:val="000C0273"/>
    <w:rsid w:val="000C5E59"/>
    <w:rsid w:val="001117D5"/>
    <w:rsid w:val="00125CFC"/>
    <w:rsid w:val="00142872"/>
    <w:rsid w:val="001507D2"/>
    <w:rsid w:val="00155EDF"/>
    <w:rsid w:val="00164379"/>
    <w:rsid w:val="00167107"/>
    <w:rsid w:val="00167D8D"/>
    <w:rsid w:val="00170F9E"/>
    <w:rsid w:val="00177531"/>
    <w:rsid w:val="00185FA2"/>
    <w:rsid w:val="001944DA"/>
    <w:rsid w:val="0019470D"/>
    <w:rsid w:val="00195D6B"/>
    <w:rsid w:val="001969CA"/>
    <w:rsid w:val="0024484A"/>
    <w:rsid w:val="00244FAB"/>
    <w:rsid w:val="00246150"/>
    <w:rsid w:val="00271B5D"/>
    <w:rsid w:val="002D5E16"/>
    <w:rsid w:val="002F3494"/>
    <w:rsid w:val="00307829"/>
    <w:rsid w:val="0033491B"/>
    <w:rsid w:val="003376DE"/>
    <w:rsid w:val="00343E86"/>
    <w:rsid w:val="003A2A61"/>
    <w:rsid w:val="003B5A55"/>
    <w:rsid w:val="003D057D"/>
    <w:rsid w:val="003D3A1B"/>
    <w:rsid w:val="004065DD"/>
    <w:rsid w:val="00421988"/>
    <w:rsid w:val="00424C1A"/>
    <w:rsid w:val="00441DE3"/>
    <w:rsid w:val="00461E36"/>
    <w:rsid w:val="00486AEA"/>
    <w:rsid w:val="004A4B49"/>
    <w:rsid w:val="004D0C9A"/>
    <w:rsid w:val="004F0FA0"/>
    <w:rsid w:val="00515547"/>
    <w:rsid w:val="00554475"/>
    <w:rsid w:val="005A1159"/>
    <w:rsid w:val="005A240B"/>
    <w:rsid w:val="005C1646"/>
    <w:rsid w:val="005F7BC4"/>
    <w:rsid w:val="00600812"/>
    <w:rsid w:val="00624F81"/>
    <w:rsid w:val="00634DF6"/>
    <w:rsid w:val="00660E09"/>
    <w:rsid w:val="006A6C2C"/>
    <w:rsid w:val="006E29E6"/>
    <w:rsid w:val="00702BC1"/>
    <w:rsid w:val="007145C6"/>
    <w:rsid w:val="00737CAD"/>
    <w:rsid w:val="007845C7"/>
    <w:rsid w:val="007C7A06"/>
    <w:rsid w:val="007E66E4"/>
    <w:rsid w:val="007F44C5"/>
    <w:rsid w:val="00825BAB"/>
    <w:rsid w:val="0086203A"/>
    <w:rsid w:val="00875FCC"/>
    <w:rsid w:val="008B31D1"/>
    <w:rsid w:val="008C0D5D"/>
    <w:rsid w:val="008C1C12"/>
    <w:rsid w:val="008C6F80"/>
    <w:rsid w:val="008D0D0A"/>
    <w:rsid w:val="00930DFB"/>
    <w:rsid w:val="009466C5"/>
    <w:rsid w:val="00956432"/>
    <w:rsid w:val="00956BDB"/>
    <w:rsid w:val="00964EA3"/>
    <w:rsid w:val="009676D5"/>
    <w:rsid w:val="009742D9"/>
    <w:rsid w:val="009905AF"/>
    <w:rsid w:val="00997C1B"/>
    <w:rsid w:val="009B0544"/>
    <w:rsid w:val="009B0762"/>
    <w:rsid w:val="009F5291"/>
    <w:rsid w:val="00A22541"/>
    <w:rsid w:val="00A41057"/>
    <w:rsid w:val="00A45EDD"/>
    <w:rsid w:val="00AD1E8D"/>
    <w:rsid w:val="00B47518"/>
    <w:rsid w:val="00B47D4F"/>
    <w:rsid w:val="00B97121"/>
    <w:rsid w:val="00BE6CDC"/>
    <w:rsid w:val="00BE74AC"/>
    <w:rsid w:val="00BF1D46"/>
    <w:rsid w:val="00C166CF"/>
    <w:rsid w:val="00C33766"/>
    <w:rsid w:val="00C34134"/>
    <w:rsid w:val="00C4668F"/>
    <w:rsid w:val="00C87579"/>
    <w:rsid w:val="00CA5D38"/>
    <w:rsid w:val="00CC2043"/>
    <w:rsid w:val="00D30852"/>
    <w:rsid w:val="00D8376E"/>
    <w:rsid w:val="00DA2B28"/>
    <w:rsid w:val="00DA76A6"/>
    <w:rsid w:val="00DB77CD"/>
    <w:rsid w:val="00DD698C"/>
    <w:rsid w:val="00E05F6F"/>
    <w:rsid w:val="00E4356D"/>
    <w:rsid w:val="00E70C2A"/>
    <w:rsid w:val="00EA47E9"/>
    <w:rsid w:val="00F242C0"/>
    <w:rsid w:val="00F4321B"/>
    <w:rsid w:val="00F51142"/>
    <w:rsid w:val="00FB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3610"/>
  <w15:chartTrackingRefBased/>
  <w15:docId w15:val="{A03500B7-ADB3-4909-8D22-3284FC0B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05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D05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3D05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D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8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8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A95061-6523-485E-89E5-A652D81DE7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93BE31-8CDF-4E98-9C4C-DDD27E6B6E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362A65-1745-49E2-A7D5-C4F3202584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112</cp:revision>
  <dcterms:created xsi:type="dcterms:W3CDTF">2019-02-28T16:21:00Z</dcterms:created>
  <dcterms:modified xsi:type="dcterms:W3CDTF">2019-03-17T17:56:00Z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AuthorIds_UIVersion_8704">
    <vt:lpwstr>13</vt:lpwstr>
  </property>
  <property fmtid="{D5CDD505-2E9C-101B-9397-08002B2CF9AE}" pid="4" name="MediaServiceImageTags">
    <vt:lpwstr/>
  </property>
</Properties>
</file>