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Normativa AI e Compliance</w:t>
      </w:r>
    </w:p>
    <w:p/>
    <w:p>
      <w:pPr>
        <w:spacing w:after="120"/>
        <w:jc w:val="left"/>
      </w:pPr>
      <w:r>
        <w:rPr>
          <w:rFonts w:ascii="Calibri" w:hAnsi="Calibri"/>
          <w:b/>
          <w:color w:val="1F497D"/>
          <w:sz w:val="48"/>
        </w:rPr>
        <w:t>Tre settimane dopo il 2 agosto: ora cosa si fa.</w:t>
      </w:r>
    </w:p>
    <w:p>
      <w:pPr>
        <w:spacing w:after="200"/>
        <w:jc w:val="left"/>
      </w:pPr>
      <w:r>
        <w:rPr>
          <w:rFonts w:ascii="Calibri" w:hAnsi="Calibri"/>
          <w:i/>
          <w:color w:val="2E74B5"/>
          <w:sz w:val="26"/>
        </w:rPr>
        <w:t>Il 2 agosto 2026 è passato. Gli obblighi di trasparenza dell'AI Act sono in vigore. Le autorità di vigilanza hanno i poteri per ispezionare. Per la maggior parte delle imprese italiane, il lavoro vero inizia adesso.</w:t>
      </w:r>
    </w:p>
    <w:p>
      <w:pPr>
        <w:spacing w:after="40" w:before="40"/>
        <w:pBdr>
          <w:bottom w:val="single" w:sz="6" w:space="1" w:color="1F497D"/>
        </w:pBdr>
      </w:pPr>
    </w:p>
    <w:p>
      <w:pPr>
        <w:spacing w:after="320"/>
        <w:jc w:val="left"/>
      </w:pPr>
      <w:r>
        <w:rPr>
          <w:rFonts w:ascii="Calibri" w:hAnsi="Calibri"/>
          <w:color w:val="808080"/>
          <w:sz w:val="18"/>
        </w:rPr>
        <w:t>A cura della Redazione Ratio  •  21 agosto 2026</w:t>
      </w:r>
    </w:p>
    <w:p>
      <w:pPr>
        <w:spacing w:after="160" w:line="320" w:lineRule="exact"/>
        <w:jc w:val="both"/>
      </w:pPr>
      <w:r>
        <w:rPr>
          <w:rFonts w:ascii="Calibri" w:hAnsi="Calibri"/>
          <w:sz w:val="22"/>
        </w:rPr>
        <w:t>Nell'agosto del 79 d.C., i Pompeiani sapevano che il Vesuvio fumava. Plinio il Vecchio aveva scritto di eruzioni. La letteratura romana aveva già registrato i segni premonitori. Eppure la risposta prevalente fu l'attesa: il vulcano aveva sempre fumato, il peggio era sempre stato rimandato, le case erano costruite, i negozi aperti. La data del 2 agosto 2026 non era un segreto: l'AI Act è in vigore dal 2024, il calendario degli obblighi era pubblico da due anni. Tre settimane dopo quella data, l'85% delle PMI italiane non ha ancora avviato una verifica sistematica della propria conformità. Il vulcano, per ora, fuma ancora.</w:t>
      </w:r>
    </w:p>
    <w:p>
      <w:pPr>
        <w:spacing w:after="160" w:line="320" w:lineRule="exact"/>
        <w:jc w:val="both"/>
      </w:pPr>
      <w:r>
        <w:rPr>
          <w:rFonts w:ascii="Calibri" w:hAnsi="Calibri"/>
          <w:sz w:val="22"/>
        </w:rPr>
        <w:t>Dal 2 agosto 2026 sono operativi tre gruppi di obblighi dell'AI Act direttamente rilevanti per imprese e professionisti. Il primo è la trasparenza: i sistemi AI che interagiscono con le persone devono dichiararsi tali, e i contenuti generati da AI devono essere marcati. Il secondo è la governance dei modelli di uso generale: i fornitori di modelli come GPT, Claude e Gemini sono soggetti a nuovi obblighi di documentazione e alle verifiche dell'AGID e dell'ACN come autorità nazionali di vigilanza. Il terzo è l'alfabetizzazione: le imprese devono garantire che il personale che usa sistemi AI abbia un livello adeguato di competenza per farlo. Le sanzioni per le violazioni degli obblighi di trasparenza arrivano al 3% del fatturato mondiale.</w:t>
      </w:r>
    </w:p>
    <w:p>
      <w:pPr>
        <w:spacing w:before="280" w:after="120"/>
      </w:pPr>
      <w:r>
        <w:rPr>
          <w:rFonts w:ascii="Calibri" w:hAnsi="Calibri"/>
          <w:b/>
          <w:color w:val="1F497D"/>
          <w:sz w:val="24"/>
        </w:rPr>
        <w:t>Il nodo dell’alfabetizzazione</w:t>
      </w:r>
    </w:p>
    <w:p>
      <w:pPr>
        <w:spacing w:after="160" w:line="320" w:lineRule="exact"/>
        <w:jc w:val="both"/>
      </w:pPr>
      <w:r>
        <w:rPr>
          <w:rFonts w:ascii="Calibri" w:hAnsi="Calibri"/>
          <w:sz w:val="22"/>
        </w:rPr>
        <w:t>L'obbligo di AI literacy è quello che più frequentemente viene sottovalutato nei piani di compliance aziendali. L'AI Act non richiede che tutti i dipendenti diventino esperti: richiede che chi usa sistemi AI in modo sistematico abbia una comprensione adeguata di cosa fa il sistema, dei suoi limiti e dei rischi associati. 'Adeguata' non è definita quantitativamente dalla norma, ma le linee guida dell'AGID pubblicate in luglio orientano verso la documentazione: chi usa l'AI, su quali compiti, con quale formazione ricevuta. Per uno studio professionale che usa strumenti AI per attività che impattano i clienti — redazione di documenti, analisi, consulenza — la domanda operativa è: se oggi arrivasse un'ispezione, saremmo in grado di mostrare che chi usa questi strumenti sa valutarne l'output?</w:t>
      </w:r>
    </w:p>
    <w:p>
      <w:pPr>
        <w:spacing w:before="280" w:after="120"/>
      </w:pPr>
      <w:r>
        <w:rPr>
          <w:rFonts w:ascii="Calibri" w:hAnsi="Calibri"/>
          <w:b/>
          <w:color w:val="1F497D"/>
          <w:sz w:val="24"/>
        </w:rPr>
        <w:t>La checklist pratica post-2 agosto</w:t>
      </w:r>
    </w:p>
    <w:p>
      <w:pPr>
        <w:spacing w:after="160" w:line="320" w:lineRule="exact"/>
        <w:jc w:val="both"/>
      </w:pPr>
      <w:r>
        <w:rPr>
          <w:rFonts w:ascii="Calibri" w:hAnsi="Calibri"/>
          <w:sz w:val="22"/>
        </w:rPr>
        <w:t>Per le imprese e gli studi professionali che non hanno ancora avviato una verifica, la sequenza pratica è la seguente. Primo passo: mappare i sistemi AI in uso, inclusi quelli consumer come ChatGPT, Copilot e Claude, distinguendo tra uso personale occasionale e uso sistematico nei processi. Secondo passo: verificare che i sistemi rivolti ai clienti — chatbot sul sito, risponditori automatici, email generate da AI — siano configurati per dichiarare la propria natura artificiale. Terzo passo: documentare la formazione ricevuta dal personale che usa AI in modo sistematico, anche sotto forma di una nota interna che registri chi ha fatto cosa. Quarto passo: nominare un referente interno che abbia in carico il monitoraggio della compliance AI, non necessariamente a tempo pieno, ma con un ruolo definito. Questi quattro passaggi non esauriscono la compliance per i sistemi ad alto rischio, che rientrano in un regime più stringente, ma coprono la base per la grande maggioranza delle PMI e degli studi professionali.</w:t>
      </w:r>
    </w:p>
    <w:p>
      <w:pPr>
        <w:spacing w:before="280" w:after="120"/>
      </w:pPr>
      <w:r>
        <w:rPr>
          <w:rFonts w:ascii="Calibri" w:hAnsi="Calibri"/>
          <w:b/>
          <w:color w:val="1F497D"/>
          <w:sz w:val="24"/>
        </w:rPr>
        <w:t>Cosa aspettarsi nei prossimi mesi</w:t>
      </w:r>
    </w:p>
    <w:p>
      <w:pPr>
        <w:spacing w:after="160" w:line="320" w:lineRule="exact"/>
        <w:jc w:val="both"/>
      </w:pPr>
      <w:r>
        <w:rPr>
          <w:rFonts w:ascii="Calibri" w:hAnsi="Calibri"/>
          <w:sz w:val="22"/>
        </w:rPr>
        <w:t>L'attività di vigilanza dell'AGID e dell'ACN partirà verosimilmente dai soggetti più grandi e dai casi più visibili: i fornitori di sistemi AI sul mercato, le piattaforme con milioni di utenti, le grandi aziende che usano AI in processi ad alto impatto. Per le PMI e gli studi professionali, il rischio di un'ispezione diretta nel 2026 è limitato. Ma il rischio indiretto è già reale: un cliente che contesta un documento generato da AI senza disclosure, un dipendente che segnala l'uso di AI senza formazione adeguata, un fornitore che chiede attestazioni di compliance per continuare un rapporto commerciale. La compliance non è solo un obbligo verso l'autorità: è anche una protezione verso i clienti e i collaboratori.</w:t>
      </w:r>
    </w:p>
    <w:p>
      <w:pPr>
        <w:spacing w:after="160" w:line="320" w:lineRule="exact"/>
        <w:jc w:val="both"/>
      </w:pPr>
      <w:r>
        <w:rPr>
          <w:rFonts w:ascii="Calibri" w:hAnsi="Calibri"/>
          <w:sz w:val="22"/>
        </w:rPr>
        <w:t>Pompei non fu distrutta dall'eruzione in un giorno solo. Fu sepolta lentamente, in ore. Chi usò bene quel tempo si salvò. Tre settimane dopo il 2 agosto, il tempo è ancora disponibile.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Altalex – 'AI Act: che cosa cambia davvero dal 2 agosto 2026 per imprese e professionisti' (31 luglio 2026)</w:t>
      </w:r>
    </w:p>
    <w:p>
      <w:pPr>
        <w:spacing w:after="40"/>
      </w:pPr>
      <w:r>
        <w:rPr>
          <w:rFonts w:ascii="Calibri" w:hAnsi="Calibri"/>
          <w:color w:val="606060"/>
          <w:sz w:val="17"/>
        </w:rPr>
        <w:t>• UniverseIT – 'AI Act 2 agosto 2026: cosa cambia per le imprese'</w:t>
      </w:r>
    </w:p>
    <w:p>
      <w:pPr>
        <w:spacing w:after="40"/>
      </w:pPr>
      <w:r>
        <w:rPr>
          <w:rFonts w:ascii="Calibri" w:hAnsi="Calibri"/>
          <w:color w:val="606060"/>
          <w:sz w:val="17"/>
        </w:rPr>
        <w:t>• Confartigianato Lecce – 'AI ACT | dal 2 agosto 2026 nuovi obblighi per imprese e operatori economici'</w:t>
      </w:r>
    </w:p>
    <w:p>
      <w:pPr>
        <w:spacing w:after="40"/>
      </w:pPr>
      <w:r>
        <w:rPr>
          <w:rFonts w:ascii="Calibri" w:hAnsi="Calibri"/>
          <w:color w:val="606060"/>
          <w:sz w:val="17"/>
        </w:rPr>
        <w:t>• Meta Communications – 'Regolamentazione dell’AI: cosa cambia da agosto 2026'</w:t>
      </w:r>
    </w:p>
    <w:p>
      <w:pPr>
        <w:spacing w:after="40"/>
      </w:pPr>
      <w:r>
        <w:rPr>
          <w:rFonts w:ascii="Calibri" w:hAnsi="Calibri"/>
          <w:color w:val="606060"/>
          <w:sz w:val="17"/>
        </w:rPr>
        <w:t>• LaP.A.M. – 'AI Act 2026: nuovi obblighi dal 2 agosto'</w:t>
      </w:r>
    </w:p>
    <w:p>
      <w:pPr>
        <w:spacing w:after="40"/>
      </w:pPr>
      <w:r>
        <w:rPr>
          <w:rFonts w:ascii="Calibri" w:hAnsi="Calibri"/>
          <w:color w:val="606060"/>
          <w:sz w:val="17"/>
        </w:rPr>
        <w:t>• AGID – Linee guida nazionali sull’obbligo di alfabetizzazione AI (luglio 2026)</w:t>
      </w:r>
    </w:p>
    <w:p>
      <w:pPr>
        <w:spacing w:after="40"/>
      </w:pPr>
      <w:r>
        <w:rPr>
          <w:rFonts w:ascii="Calibri" w:hAnsi="Calibri"/>
          <w:color w:val="606060"/>
          <w:sz w:val="17"/>
        </w:rPr>
        <w:t>• Regolamento UE 2024/1689 (AI Act), artt. 4, 50, 99</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