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Agosto 2026  |  Strumenti AI per Professionisti</w:t>
      </w:r>
    </w:p>
    <w:p/>
    <w:p>
      <w:pPr>
        <w:spacing w:after="120"/>
        <w:jc w:val="left"/>
      </w:pPr>
      <w:r>
        <w:rPr>
          <w:rFonts w:ascii="Calibri" w:hAnsi="Calibri"/>
          <w:b/>
          <w:color w:val="1F497D"/>
          <w:sz w:val="48"/>
        </w:rPr>
        <w:t>L’AI vede le fatture, ascolta le riunioni, legge i contratti.</w:t>
      </w:r>
    </w:p>
    <w:p>
      <w:pPr>
        <w:spacing w:after="200"/>
        <w:jc w:val="left"/>
      </w:pPr>
      <w:r>
        <w:rPr>
          <w:rFonts w:ascii="Calibri" w:hAnsi="Calibri"/>
          <w:i/>
          <w:color w:val="2E74B5"/>
          <w:sz w:val="26"/>
        </w:rPr>
        <w:t>La multimodalità è la capacità dei modelli AI di lavorare su testo, immagini, audio e documenti nella stessa sessione. Per uno studio professionale, significa che l’AI si adatta al flusso di lavoro reale, non il contrario.</w:t>
      </w:r>
    </w:p>
    <w:p>
      <w:pPr>
        <w:spacing w:after="40" w:before="40"/>
        <w:pBdr>
          <w:bottom w:val="single" w:sz="6" w:space="1" w:color="1F497D"/>
        </w:pBdr>
      </w:pPr>
    </w:p>
    <w:p>
      <w:pPr>
        <w:spacing w:after="320"/>
        <w:jc w:val="left"/>
      </w:pPr>
      <w:r>
        <w:rPr>
          <w:rFonts w:ascii="Calibri" w:hAnsi="Calibri"/>
          <w:color w:val="808080"/>
          <w:sz w:val="18"/>
        </w:rPr>
        <w:t>A cura della Redazione Ratio  •  21 agosto 2026</w:t>
      </w:r>
    </w:p>
    <w:p>
      <w:pPr>
        <w:spacing w:after="160" w:line="320" w:lineRule="exact"/>
        <w:jc w:val="both"/>
      </w:pPr>
      <w:r>
        <w:rPr>
          <w:rFonts w:ascii="Calibri" w:hAnsi="Calibri"/>
          <w:sz w:val="22"/>
        </w:rPr>
        <w:t>Thomas Edison, quando presentò il fonografo nel 1877, elencò dieci possibili applicazioni dell’invenzione. All’ottavo posto metteva 'preservare le ultime parole dei moribondi'. Al decimo 'giocattoli parlanti'. La registrazione della musica, che sarebbe diventata l’applicazione economicamente dominante, non era nella lista. Chi usa strumenti AI multimodali nel lavoro professionale sta facendo la stessa scoperta: le applicazioni che cambiano di più il lavoro quotidiano spesso non sono quelle previste quando si è abbonati al servizio.</w:t>
      </w:r>
    </w:p>
    <w:p>
      <w:pPr>
        <w:spacing w:after="160" w:line="320" w:lineRule="exact"/>
        <w:jc w:val="both"/>
      </w:pPr>
      <w:r>
        <w:rPr>
          <w:rFonts w:ascii="Calibri" w:hAnsi="Calibri"/>
          <w:sz w:val="22"/>
        </w:rPr>
        <w:t>La multimodalità è la capacità di un sistema AI di elaborare contemporaneamente diverse tipologie di input: testo, immagini, PDF, fogli di calcolo, file audio, screenshot, fotografie. I principali modelli disponibili nel 2026 — GPT-5.5, Claude Sonnet 5, Gemini 3.1 Pro — gestiscono tutti questi formati in modo nativo. Per uno studio professionale o un'azienda, questo significa che non è più necessario trascrivere il contenuto di un documento prima di analizzarlo: si carica il PDF e si chiede. Non è più necessario riscrivere i dati di una fattura in un foglio di calcolo: si mostra la fattura e si chiede di estrarre i campi. Non è più necessario leggere l’intera trascrizione di una riunione: si carica l’audio e si chiede il riassunto per punti d’azione.</w:t>
      </w:r>
    </w:p>
    <w:p>
      <w:pPr>
        <w:spacing w:before="280" w:after="120"/>
      </w:pPr>
      <w:r>
        <w:rPr>
          <w:rFonts w:ascii="Calibri" w:hAnsi="Calibri"/>
          <w:b/>
          <w:color w:val="1F497D"/>
          <w:sz w:val="24"/>
        </w:rPr>
        <w:t>Le applicazioni più usate negli studi professionali</w:t>
      </w:r>
    </w:p>
    <w:p>
      <w:pPr>
        <w:spacing w:after="160" w:line="320" w:lineRule="exact"/>
        <w:jc w:val="both"/>
      </w:pPr>
      <w:r>
        <w:rPr>
          <w:rFonts w:ascii="Calibri" w:hAnsi="Calibri"/>
          <w:sz w:val="22"/>
        </w:rPr>
        <w:t>I casi d’uso multimodali che stanno entrando negli studi professionali si concentrano su tre aree. La prima è l’analisi documentale: contratti, bilanci, visure, dichiarazioni, estratti conto. Il professionista carica il documento, pone domande specifiche e riceve risposte che rimandano al testo originale. Il tempo di lettura di un contratto di 40 pagine per identificare le clausole rilevanti si riduce da ore a minuti, con la verifica umana che si concentra sui punti segnalati dall’AI. La seconda area è l’elaborazione di dati visivi: fotografie di ricevute e scontrini per la nota spese, scansioni di documenti cartacei, screenshot di gestionali. La terza è la sintesi di riunioni e call registrate: i principali strumenti transcrivono e riassumono in italiano con precisione sufficiente per l’uso operativo.</w:t>
      </w:r>
    </w:p>
    <w:p>
      <w:pPr>
        <w:spacing w:before="280" w:after="120"/>
      </w:pPr>
      <w:r>
        <w:rPr>
          <w:rFonts w:ascii="Calibri" w:hAnsi="Calibri"/>
          <w:b/>
          <w:color w:val="1F497D"/>
          <w:sz w:val="24"/>
        </w:rPr>
        <w:t>I limiti che contano</w:t>
      </w:r>
    </w:p>
    <w:p>
      <w:pPr>
        <w:spacing w:after="160" w:line="320" w:lineRule="exact"/>
        <w:jc w:val="both"/>
      </w:pPr>
      <w:r>
        <w:rPr>
          <w:rFonts w:ascii="Calibri" w:hAnsi="Calibri"/>
          <w:sz w:val="22"/>
        </w:rPr>
        <w:t>La multimodalità non è infallibile e i suoi limiti sono diversi da quelli del testo puro. I modelli che leggono immagini possono sbagliare cifre, soprattutto in documenti con layout complessi, tabelle sovrapposte o qualità di scansione bassa. I modelli che trascrivono audio perdono precisione su dialetti, voci sovrapposte e terminologia tecnica di nicchia. I modelli che analizzano PDF strutturati come bilanci XBRL o dichiarazioni XML possono avere difficoltà con i metadati che un revisore esperto leggerebbe automaticamente. La regola operativa è la stessa che vale per il testo: l’AI produce una prima elaborazione di qualità, il professionista verifica i punti critici. Su documenti dove un errore ha conseguenze rilevanti, la verifica non è opzionale.</w:t>
      </w:r>
    </w:p>
    <w:p>
      <w:pPr>
        <w:spacing w:before="280" w:after="120"/>
      </w:pPr>
      <w:r>
        <w:rPr>
          <w:rFonts w:ascii="Calibri" w:hAnsi="Calibri"/>
          <w:b/>
          <w:color w:val="1F497D"/>
          <w:sz w:val="24"/>
        </w:rPr>
        <w:t>Privacy e dati del cliente</w:t>
      </w:r>
    </w:p>
    <w:p>
      <w:pPr>
        <w:spacing w:after="160" w:line="320" w:lineRule="exact"/>
        <w:jc w:val="both"/>
      </w:pPr>
      <w:r>
        <w:rPr>
          <w:rFonts w:ascii="Calibri" w:hAnsi="Calibri"/>
          <w:sz w:val="22"/>
        </w:rPr>
        <w:t>Il caricamento di documenti contenenti dati personali dei clienti su piattaforme AI esterne è soggetto alle disposizioni del GDPR e, dal 2 agosto 2026, anche all’AI Act. Per gli studi professionali, la domanda pratica è se il fornitore del servizio AI ha sottoscritto un Data Processing Agreement adeguato e se i dati caricati vengono usati per addestrare i modelli. I principali fornitori enterprise offrono opzioni di non-training e storage dei dati in Europa. I piani consumer standard hanno spesso condizioni meno favorevoli. Prima di caricare un contratto con i dati di un cliente su uno strumento AI, vale la pena leggere le condizioni del proprio piano.</w:t>
      </w:r>
    </w:p>
    <w:p>
      <w:pPr>
        <w:spacing w:after="160" w:line="320" w:lineRule="exact"/>
        <w:jc w:val="both"/>
      </w:pPr>
      <w:r>
        <w:rPr>
          <w:rFonts w:ascii="Calibri" w:hAnsi="Calibri"/>
          <w:sz w:val="22"/>
        </w:rPr>
        <w:t>Edison non aveva previsto la musica registrata perché stava pensando a cosa il fonografo potesse conservare, non a cosa le persone avessero piacere di ascoltare. L’AI multimodale funziona meglio quando si parte dal problema reale del lavoro quotidiano, non dalla lista delle funzionalità.</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Bleap Finance – 'Claude vs GPT vs Gemini: Confronto tra i Migliori Modelli di IA del 2026'</w:t>
      </w:r>
    </w:p>
    <w:p>
      <w:pPr>
        <w:spacing w:after="40"/>
      </w:pPr>
      <w:r>
        <w:rPr>
          <w:rFonts w:ascii="Calibri" w:hAnsi="Calibri"/>
          <w:color w:val="606060"/>
          <w:sz w:val="17"/>
        </w:rPr>
        <w:t>• Alessio Pomaro – 'Generative AI: novità e riflessioni #4/2026'</w:t>
      </w:r>
    </w:p>
    <w:p>
      <w:pPr>
        <w:spacing w:after="40"/>
      </w:pPr>
      <w:r>
        <w:rPr>
          <w:rFonts w:ascii="Calibri" w:hAnsi="Calibri"/>
          <w:color w:val="606060"/>
          <w:sz w:val="17"/>
        </w:rPr>
        <w:t>• Culture Digitali – 'Tutti i Modelli Gemini AI Disponibili nel 2026: Guida Completa'</w:t>
      </w:r>
    </w:p>
    <w:p>
      <w:pPr>
        <w:spacing w:after="40"/>
      </w:pPr>
      <w:r>
        <w:rPr>
          <w:rFonts w:ascii="Calibri" w:hAnsi="Calibri"/>
          <w:color w:val="606060"/>
          <w:sz w:val="17"/>
        </w:rPr>
        <w:t>• OpenAI Help Center – Note di rilascio dei modelli (agosto 2026)</w:t>
      </w:r>
    </w:p>
    <w:p>
      <w:pPr>
        <w:spacing w:after="40"/>
      </w:pPr>
      <w:r>
        <w:rPr>
          <w:rFonts w:ascii="Calibri" w:hAnsi="Calibri"/>
          <w:color w:val="606060"/>
          <w:sz w:val="17"/>
        </w:rPr>
        <w:t>• Garante per la protezione dei dati personali – Provvedimento sull’uso di strumenti AI nei contesti professionali</w:t>
      </w:r>
    </w:p>
    <w:p>
      <w:pPr>
        <w:spacing w:after="40"/>
      </w:pPr>
      <w:r>
        <w:rPr>
          <w:rFonts w:ascii="Calibri" w:hAnsi="Calibri"/>
          <w:color w:val="606060"/>
          <w:sz w:val="17"/>
        </w:rPr>
        <w:t>• Regolamento UE 2016/679 (GDPR), art. 28 – Responsabili del trattamento</w:t>
      </w:r>
    </w:p>
    <w:p>
      <w:pPr>
        <w:spacing w:after="40"/>
      </w:pPr>
      <w:r>
        <w:rPr>
          <w:rFonts w:ascii="Calibri" w:hAnsi="Calibri"/>
          <w:color w:val="606060"/>
          <w:sz w:val="17"/>
        </w:rPr>
        <w:t>• Regolamento UE 2024/1689 (AI Act), artt. 4, 13, 50</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