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Gestione e Strategia AI</w:t>
      </w:r>
    </w:p>
    <w:p/>
    <w:p>
      <w:pPr>
        <w:spacing w:after="120"/>
        <w:jc w:val="left"/>
      </w:pPr>
      <w:r>
        <w:rPr>
          <w:rFonts w:ascii="Calibri" w:hAnsi="Calibri"/>
          <w:b/>
          <w:color w:val="1F497D"/>
          <w:sz w:val="48"/>
        </w:rPr>
        <w:t>Il ROI dell’AI: come si misura quello che conta.</w:t>
      </w:r>
    </w:p>
    <w:p>
      <w:pPr>
        <w:spacing w:after="200"/>
        <w:jc w:val="left"/>
      </w:pPr>
      <w:r>
        <w:rPr>
          <w:rFonts w:ascii="Calibri" w:hAnsi="Calibri"/>
          <w:i/>
          <w:color w:val="2E74B5"/>
          <w:sz w:val="26"/>
        </w:rPr>
        <w:t>Il mercato AI è pieno di promesse di efficienza. Molte aziende investono, poche misurano i risultati in modo rigoroso. Per un imprenditore o un professionista, la domanda non è se l’AI funziona: è se funziona per me, su questo processo, con questi numeri.</w:t>
      </w:r>
    </w:p>
    <w:p>
      <w:pPr>
        <w:spacing w:after="40" w:before="40"/>
        <w:pBdr>
          <w:bottom w:val="single" w:sz="6" w:space="1" w:color="1F497D"/>
        </w:pBdr>
      </w:pPr>
    </w:p>
    <w:p>
      <w:pPr>
        <w:spacing w:after="320"/>
        <w:jc w:val="left"/>
      </w:pPr>
      <w:r>
        <w:rPr>
          <w:rFonts w:ascii="Calibri" w:hAnsi="Calibri"/>
          <w:color w:val="808080"/>
          <w:sz w:val="18"/>
        </w:rPr>
        <w:t>A cura della Redazione Ratio  •  21 agosto 2026</w:t>
      </w:r>
    </w:p>
    <w:p>
      <w:pPr>
        <w:spacing w:after="160" w:line="320" w:lineRule="exact"/>
        <w:jc w:val="both"/>
      </w:pPr>
      <w:r>
        <w:rPr>
          <w:rFonts w:ascii="Calibri" w:hAnsi="Calibri"/>
          <w:sz w:val="22"/>
        </w:rPr>
        <w:t>Lord Kelvin, il fisico vittoriano che misurò la temperatura assoluta, aveva una massima che i suoi studenti impararono a memoria: 'Se non puoi misurarlo, non puoi migliorarlo.' La frase viene spesso attribuita erroneamente a Peter Drucker, il che dice qualcosa sull’affidabilità delle citazioni non verificate, tema che ci tornerà utile tra poco. Ma il principio regge: gli investimenti in AI che non vengono misurati sistematicamente producono percezioni di valore difficili da giustificare di fronte a un consiglio di amministrazione, a un socio o a un cliente che paga la consulenza. Nel 2026, mentre le aziende italiane dichiarano investimenti AI in crescita, la quota di quelle che misurano il ritorno in modo strutturato resta sotto il 30%.</w:t>
      </w:r>
    </w:p>
    <w:p>
      <w:pPr>
        <w:spacing w:after="160" w:line="320" w:lineRule="exact"/>
        <w:jc w:val="both"/>
      </w:pPr>
      <w:r>
        <w:rPr>
          <w:rFonts w:ascii="Calibri" w:hAnsi="Calibri"/>
          <w:sz w:val="22"/>
        </w:rPr>
        <w:t>Il calcolo del ROI per gli strumenti AI è più complicato di quanto sembri perché i benefici non sono tutti monetizzabili facilmente e i costi non si esauriscono nell’abbonamento mensile. Sul lato dei costi entrano: il costo della piattaforma, il tempo di formazione del personale, il tempo di supervisione dell’output (che non è zero, anche quando l’AI lavora bene), i costi di governance e compliance introdotti dall’AI Act. Sul lato dei benefici entrano: il tempo risparmiato su compiti ricorrenti, la riduzione degli errori su processi ad alto volume, la capacità di gestire un maggior numero di pratiche con lo stesso organico, la qualità migliorata degli output su compiti di analisi e redazione.</w:t>
      </w:r>
    </w:p>
    <w:p>
      <w:pPr>
        <w:spacing w:before="280" w:after="120"/>
      </w:pPr>
      <w:r>
        <w:rPr>
          <w:rFonts w:ascii="Calibri" w:hAnsi="Calibri"/>
          <w:b/>
          <w:color w:val="1F497D"/>
          <w:sz w:val="24"/>
        </w:rPr>
        <w:t>Come costruire una misura credibile</w:t>
      </w:r>
    </w:p>
    <w:p>
      <w:pPr>
        <w:spacing w:after="160" w:line="320" w:lineRule="exact"/>
        <w:jc w:val="both"/>
      </w:pPr>
      <w:r>
        <w:rPr>
          <w:rFonts w:ascii="Calibri" w:hAnsi="Calibri"/>
          <w:sz w:val="22"/>
        </w:rPr>
        <w:t>Il metodo più semplice per costruire una misura del ROI su un caso d’uso AI specifico parte da tre dati. Primo: il tempo medio impiegato per completare il processo prima dell’AI, espresso in ore per unità (per pratica, per fattura, per documento). Secondo: il tempo medio impiegato dopo l’introduzione dell’AI, inclusa la verifica dell’output. Terzo: il costo orario della figura professionale coinvolta. La differenza in ore per il volume annuo di pratiche, moltiplicata per il costo orario, è il risparmio diretto. A questo si sottrae il costo annuo dello strumento e una stima del tempo di governance. Questo calcolo è rozzo, ma è verificabile e confrontabile nel tempo. Un calcolo rozzo e verificato vale infinitamente più di una stima sofisticata non controllata.</w:t>
      </w:r>
    </w:p>
    <w:p>
      <w:pPr>
        <w:spacing w:before="280" w:after="120"/>
      </w:pPr>
      <w:r>
        <w:rPr>
          <w:rFonts w:ascii="Calibri" w:hAnsi="Calibri"/>
          <w:b/>
          <w:color w:val="1F497D"/>
          <w:sz w:val="24"/>
        </w:rPr>
        <w:t>I casi d’uso con ROI più misurabile</w:t>
      </w:r>
    </w:p>
    <w:p>
      <w:pPr>
        <w:spacing w:after="160" w:line="320" w:lineRule="exact"/>
        <w:jc w:val="both"/>
      </w:pPr>
      <w:r>
        <w:rPr>
          <w:rFonts w:ascii="Calibri" w:hAnsi="Calibri"/>
          <w:sz w:val="22"/>
        </w:rPr>
        <w:t>Nei contesti professionali italiani, i processi dove il ROI dell’AI è più facilmente misurabile sono quelli ad alto volume e bassa variabilità: la riconciliazione di estratti conto bancari, la classificazione di movimenti contabili ricorrenti, la redazione di comunicazioni standard ai clienti su temi definiti, la sintesi di documenti lunghi per estrarne i dati rilevanti, la risposta a quesiti normativi su argomenti ben perimetrati. Su questi processi, studi professionali che hanno misurato riferiscono risparmi di tempo tra il 30% e il 60% per pratica, con variazioni significative legate alla qualità del prompt e alla curva di apprendimento iniziale. I processi ad alta variabilità e giudizio — la consulenza strategica, la rappresentanza in contenzioso, la negoziazione — mostrano benefici meno lineari e più difficili da isolare.</w:t>
      </w:r>
    </w:p>
    <w:p>
      <w:pPr>
        <w:spacing w:before="280" w:after="120"/>
      </w:pPr>
      <w:r>
        <w:rPr>
          <w:rFonts w:ascii="Calibri" w:hAnsi="Calibri"/>
          <w:b/>
          <w:color w:val="1F497D"/>
          <w:sz w:val="24"/>
        </w:rPr>
        <w:t>Quando il ROI non chiude</w:t>
      </w:r>
    </w:p>
    <w:p>
      <w:pPr>
        <w:spacing w:after="160" w:line="320" w:lineRule="exact"/>
        <w:jc w:val="both"/>
      </w:pPr>
      <w:r>
        <w:rPr>
          <w:rFonts w:ascii="Calibri" w:hAnsi="Calibri"/>
          <w:sz w:val="22"/>
        </w:rPr>
        <w:t>Alcuni investimenti AI non producono il ROI atteso. Le ragioni più frequenti sono tre. La prima è la scelta sbagliata del caso d’uso: si introduce l’AI su un processo dove il collo di bottiglia non è il tempo di elaborazione ma la raccolta dei dati, e il risparmio è marginale. La seconda è la sopravvalutazione dell’autonomia del sistema: si abbandona la supervisione dell’output troppo presto, si accumulano errori, e il tempo di correzione annulla il risparmio. La terza è la mancanza di adattamento del processo: si usa l’AI come sostituto dell’operatore senza ridisegnare il flusso, e il guadagno rimane sulla carta. In tutti e tre i casi, la misura aiuta a diagnosticare: un ROI che non chiude su un caso d’uso specifico è un dato utile, non un fallimento.</w:t>
      </w:r>
    </w:p>
    <w:p>
      <w:pPr>
        <w:spacing w:after="160" w:line="320" w:lineRule="exact"/>
        <w:jc w:val="both"/>
      </w:pPr>
      <w:r>
        <w:rPr>
          <w:rFonts w:ascii="Calibri" w:hAnsi="Calibri"/>
          <w:sz w:val="22"/>
        </w:rPr>
        <w:t>Lord Kelvin aveva anche un altro principio, meno citato: 'La misura è utile non quando conferma ciò che già sapevi, ma quando ti dice ciò che non ti aspettavi.' Il ROI dell’AI misurato seriamente dirà dove investire di più e dove smettere. Entrambe le informazioni valgono.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SME-AI Maturity Index 2026 – Webidoo Insight Lab (giugno 2026)</w:t>
      </w:r>
    </w:p>
    <w:p>
      <w:pPr>
        <w:spacing w:after="40"/>
      </w:pPr>
      <w:r>
        <w:rPr>
          <w:rFonts w:ascii="Calibri" w:hAnsi="Calibri"/>
          <w:color w:val="606060"/>
          <w:sz w:val="17"/>
        </w:rPr>
        <w:t>• AdnKronos – 'AI: nelle PMI italiane il potenziale c’è ma la maturità resta bassa' (30 giugno 2026)</w:t>
      </w:r>
    </w:p>
    <w:p>
      <w:pPr>
        <w:spacing w:after="40"/>
      </w:pPr>
      <w:r>
        <w:rPr>
          <w:rFonts w:ascii="Calibri" w:hAnsi="Calibri"/>
          <w:color w:val="606060"/>
          <w:sz w:val="17"/>
        </w:rPr>
        <w:t>• AgendaDigitale.eu – 'AI nelle PMI italiane: competenze e dati frenano la svolta digitale'</w:t>
      </w:r>
    </w:p>
    <w:p>
      <w:pPr>
        <w:spacing w:after="40"/>
      </w:pPr>
      <w:r>
        <w:rPr>
          <w:rFonts w:ascii="Calibri" w:hAnsi="Calibri"/>
          <w:color w:val="606060"/>
          <w:sz w:val="17"/>
        </w:rPr>
        <w:t>• MediaKey.it – 'SME-AIMIX 2026: fino al +30% di produttività con l’AI, ma le PMI italiane non sono ancora pronte'</w:t>
      </w:r>
    </w:p>
    <w:p>
      <w:pPr>
        <w:spacing w:after="40"/>
      </w:pPr>
      <w:r>
        <w:rPr>
          <w:rFonts w:ascii="Calibri" w:hAnsi="Calibri"/>
          <w:color w:val="606060"/>
          <w:sz w:val="17"/>
        </w:rPr>
        <w:t>• Yellow Tech – 'AI Italia: trend e dati 2026'</w:t>
      </w:r>
    </w:p>
    <w:p>
      <w:pPr>
        <w:spacing w:after="40"/>
      </w:pPr>
      <w:r>
        <w:rPr>
          <w:rFonts w:ascii="Calibri" w:hAnsi="Calibri"/>
          <w:color w:val="606060"/>
          <w:sz w:val="17"/>
        </w:rPr>
        <w:t>• Istat – Rapporto ICT e AI nelle imprese italiane 2025-2026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