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Normativa AI</w:t>
      </w:r>
    </w:p>
    <w:p/>
    <w:p>
      <w:pPr>
        <w:spacing w:after="120"/>
        <w:jc w:val="left"/>
      </w:pPr>
      <w:r>
        <w:rPr>
          <w:rFonts w:ascii="Calibri" w:hAnsi="Calibri"/>
          <w:b/>
          <w:color w:val="1F497D"/>
          <w:sz w:val="48"/>
        </w:rPr>
        <w:t>L'Italia vara i decreti sull'AI.</w:t>
        <w:br/>
        <w:t>Siamo primi in Europa, ma c'e' da fare.</w:t>
      </w:r>
    </w:p>
    <w:p>
      <w:pPr>
        <w:spacing w:after="200"/>
        <w:jc w:val="left"/>
      </w:pPr>
      <w:r>
        <w:rPr>
          <w:rFonts w:ascii="Calibri" w:hAnsi="Calibri"/>
          <w:i/>
          <w:color w:val="2E74B5"/>
          <w:sz w:val="26"/>
        </w:rPr>
        <w:t>Il 10 giugno il Consiglio dei Ministri ha approvato i due decreti attuativi della Legge 132/2025. Governance, responsabilita' professionale, formazione: il quadro normativo si completa. Ecco cosa cambia concretamente per professionisti e imprese.</w:t>
      </w:r>
    </w:p>
    <w:p>
      <w:pPr>
        <w:spacing w:after="40" w:before="40"/>
        <w:pBdr>
          <w:bottom w:val="single" w:sz="6" w:space="1" w:color="1F497D"/>
        </w:pBdr>
      </w:pPr>
    </w:p>
    <w:p>
      <w:pPr>
        <w:spacing w:after="320"/>
        <w:jc w:val="left"/>
      </w:pPr>
      <w:r>
        <w:rPr>
          <w:rFonts w:ascii="Calibri" w:hAnsi="Calibri"/>
          <w:color w:val="808080"/>
          <w:sz w:val="18"/>
        </w:rPr>
        <w:t>A cura della Redazione Ratio  •  12 giugno 2026</w:t>
      </w:r>
    </w:p>
    <w:p>
      <w:pPr>
        <w:spacing w:after="160" w:line="320" w:lineRule="exact"/>
        <w:jc w:val="both"/>
      </w:pPr>
      <w:r>
        <w:rPr>
          <w:rFonts w:ascii="Calibri" w:hAnsi="Calibri"/>
          <w:sz w:val="22"/>
        </w:rPr>
        <w:t>Il 10 giugno 2026 il Consiglio dei Ministri ha approvato in esame preliminare i due decreti legislativi attuativi della Legge 23 settembre 2025 n. 132, la legge italiana sull'intelligenza artificiale. L'Italia diventa cosi' il primo paese europeo ad adottare un pacchetto attuativo organico che integra la normativa nazionale con il Regolamento UE 2024/1689 (AI Act). Non e' un traguardo formale: significa che le imprese italiane si trovano a operare con un quadro regolatorio piu' definito rispetto ai concorrenti europei, ma anche con obblighi piu' precisi e scadenze ravvicinate. I decreti ora passano all'esame parlamentare e alla Conferenza delle Regioni, ma i contenuti sono sostanzialmente consolidati.</w:t>
      </w:r>
    </w:p>
    <w:p>
      <w:pPr>
        <w:spacing w:after="160" w:line="320" w:lineRule="exact"/>
        <w:jc w:val="both"/>
      </w:pPr>
      <w:r>
        <w:rPr>
          <w:rFonts w:ascii="Calibri" w:hAnsi="Calibri"/>
          <w:sz w:val="22"/>
        </w:rPr>
        <w:t>Il primo decreto riguarda la governance nazionale dell'intelligenza artificiale. Conferma AgID, l'Agenzia per l'Italia Digitale, come autorita' di notifica, e ACN, l'Agenzia per la Cybersicurezza Nazionale, come autorita' di vigilanza del mercato. Stabilisce il funzionamento della sandbox regolatoria, cioe' lo spazio controllato in cui le imprese potranno sperimentare sistemi AI con requisiti semplificati prima di immetterli nel mercato ordinario. E definisce il regime sanzionatorio per le violazioni del regolamento europeo, con importi che possono arrivare fino a 35 milioni di euro o al 7% del fatturato annuo globale per le infrazioni piu' gravi. Il secondo decreto affronta i settori: formazione, lavoro, sanita', pubblica amministrazione, responsabilita' civile e penale.</w:t>
      </w:r>
    </w:p>
    <w:p>
      <w:pPr>
        <w:spacing w:before="280" w:after="120"/>
      </w:pPr>
      <w:r>
        <w:rPr>
          <w:rFonts w:ascii="Calibri" w:hAnsi="Calibri"/>
          <w:b/>
          <w:color w:val="1F497D"/>
          <w:sz w:val="24"/>
        </w:rPr>
        <w:t>Responsabilita' professionale: il principio che cambia tutto</w:t>
      </w:r>
    </w:p>
    <w:p>
      <w:pPr>
        <w:spacing w:after="160" w:line="320" w:lineRule="exact"/>
        <w:jc w:val="both"/>
      </w:pPr>
      <w:r>
        <w:rPr>
          <w:rFonts w:ascii="Calibri" w:hAnsi="Calibri"/>
          <w:sz w:val="22"/>
        </w:rPr>
        <w:t>Per i professionisti, il passaggio normativo piu' rilevante e' quello sulla responsabilita' nell'uso dell'AI. La legge 132 aveva introdotto il principio antropocentrico: l'AI supporta il professionista, non lo sostituisce nel giudizio. I decreti attuativi precisano le conseguenze operative di quel principio. Chi usa uno strumento AI per produrre documenti, pareri, analisi o comunicazioni destinate a clienti o a terzi ha obblighi informativi precisi: deve comunicare se e come lo strumento e' stato usato, in quali fasi, con quale supervisione. Non si tratta di una dichiarazione generica nell'informativa privacy. Si tratta di trasparenza sull'output specifico, adeguata alla natura del documento e al contesto professionale.</w:t>
      </w:r>
    </w:p>
    <w:p>
      <w:pPr>
        <w:spacing w:after="160" w:line="320" w:lineRule="exact"/>
        <w:jc w:val="both"/>
      </w:pPr>
      <w:r>
        <w:rPr>
          <w:rFonts w:ascii="Calibri" w:hAnsi="Calibri"/>
          <w:sz w:val="22"/>
        </w:rPr>
        <w:t>Questo non significa che ogni parere fiscale debba portare un bollino 'prodotto con AI'. Significa che se il professionista usa uno strumento AI per costruire l'argomentazione e il cliente lo chiede, deve essere in grado di rispondergli in modo chiaro. Il confine non e' ancora definito nei dettagli applicativi, che dipenderanno anche dagli orientamenti degli ordini professionali. Ma il principio e' netto: trasparenza sull'uso, responsabilita' sul risultato.</w:t>
      </w:r>
    </w:p>
    <w:p>
      <w:pPr>
        <w:spacing w:before="280" w:after="120"/>
      </w:pPr>
      <w:r>
        <w:rPr>
          <w:rFonts w:ascii="Calibri" w:hAnsi="Calibri"/>
          <w:b/>
          <w:color w:val="1F497D"/>
          <w:sz w:val="24"/>
        </w:rPr>
        <w:t>Formazione obbligatoria: la scadenza che si avvicina</w:t>
      </w:r>
    </w:p>
    <w:p>
      <w:pPr>
        <w:spacing w:after="160" w:line="320" w:lineRule="exact"/>
        <w:jc w:val="both"/>
      </w:pPr>
      <w:r>
        <w:rPr>
          <w:rFonts w:ascii="Calibri" w:hAnsi="Calibri"/>
          <w:sz w:val="22"/>
        </w:rPr>
        <w:t>Dal 1 agosto 2026 entrano in vigore gli obblighi di AI literacy previsti dall'articolo 14 della Legge 132. I datori di lavoro devono garantire che i dipendenti che usano sistemi AI nell'ambito della propria attivita' lavorativa abbiano ricevuto una formazione adeguata, proporzionata al livello di interazione con lo strumento. Non si tratta di un corso generico sull'intelligenza artificiale: si tratta di formazione specifica sugli strumenti effettivamente usati in azienda, sulle loro limitazioni, sui rischi e sulle responsabilita' connesse. Gli ordini professionali sono chiamati a integrare questi contenuti nei programmi di formazione continua obbligatoria.</w:t>
      </w:r>
    </w:p>
    <w:p>
      <w:pPr>
        <w:spacing w:after="160" w:line="320" w:lineRule="exact"/>
        <w:jc w:val="both"/>
      </w:pPr>
      <w:r>
        <w:rPr>
          <w:rFonts w:ascii="Calibri" w:hAnsi="Calibri"/>
          <w:sz w:val="22"/>
        </w:rPr>
        <w:t>Per uno studio professionale o un'impresa di medie dimensioni, questo significa fare un censimento degli strumenti AI in uso, identificare i ruoli che li usano, e verificare se i programmi formativi gia' esistenti siano sufficienti o debbano essere aggiornati. Chi non ha ancora avviato questa ricognizione ha meno di due mesi per farlo. Chi l'ha gia' avviata deve verificare che la documentazione sia sufficiente in caso di controllo.</w:t>
      </w:r>
    </w:p>
    <w:p>
      <w:pPr>
        <w:spacing w:before="280" w:after="120"/>
      </w:pPr>
      <w:r>
        <w:rPr>
          <w:rFonts w:ascii="Calibri" w:hAnsi="Calibri"/>
          <w:b/>
          <w:color w:val="1F497D"/>
          <w:sz w:val="24"/>
        </w:rPr>
        <w:t>La sandbox e i nuovi spazi per sperimentare</w:t>
      </w:r>
    </w:p>
    <w:p>
      <w:pPr>
        <w:spacing w:after="160" w:line="320" w:lineRule="exact"/>
        <w:jc w:val="both"/>
      </w:pPr>
      <w:r>
        <w:rPr>
          <w:rFonts w:ascii="Calibri" w:hAnsi="Calibri"/>
          <w:sz w:val="22"/>
        </w:rPr>
        <w:t>Uno degli elementi piu' interessanti del pacchetto attuativo e' la sandbox regolatoria, la possibilita' per le imprese di sviluppare e testare sistemi AI in un ambiente controllato, con requisiti semplificati rispetto a quelli previsti per l'immissione sul mercato ordinario. Il meccanismo e' pensato per ridurre l'asimmetria tra grandi aziende, che possono permettersi i costi della compliance completa fin dall'inizio, e PMI, che rischiano di essere escluse dall'innovazione proprio per l'impatto dei requisiti normativi. L'accesso alla sandbox richiede una richiesta formale ad AgID e il rispetto di condizioni minime di sicurezza e trasparenza, ma senza i requisiti documentali completi del regime ordinario.</w:t>
      </w:r>
    </w:p>
    <w:p>
      <w:pPr>
        <w:spacing w:after="160" w:line="320" w:lineRule="exact"/>
        <w:jc w:val="both"/>
      </w:pPr>
      <w:r>
        <w:rPr>
          <w:rFonts w:ascii="Calibri" w:hAnsi="Calibri"/>
          <w:sz w:val="22"/>
        </w:rPr>
        <w:t>Il quadro che emerge da questi decreti non e' quello di una normativa punitiva. E' quello di un sistema che cerca di bilanciare tre esigenze che in molti contesti europei sono ancora in tensione: abilitare l'innovazione, proteggere i cittadini, dare certezza alle imprese. Il fatto che l'Italia arrivi prima degli altri paesi europei su questo fronte e' un vantaggio competitivo potenziale, a patto che le imprese usino questa chiarezza normativa come punto di partenza per muoversi, non come ragione per aspettare ulteriori precisazioni.</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Consiglio dei Ministri n. 177 del 10 giugno 2026 — comunicato stampa ufficiale</w:t>
      </w:r>
    </w:p>
    <w:p>
      <w:pPr>
        <w:spacing w:after="40"/>
      </w:pPr>
      <w:r>
        <w:rPr>
          <w:rFonts w:ascii="Calibri" w:hAnsi="Calibri"/>
          <w:color w:val="606060"/>
          <w:sz w:val="17"/>
        </w:rPr>
        <w:t>• Legge 23 settembre 2025, n. 132 sull'intelligenza artificiale — Normattiva</w:t>
      </w:r>
    </w:p>
    <w:p>
      <w:pPr>
        <w:spacing w:after="40"/>
      </w:pPr>
      <w:r>
        <w:rPr>
          <w:rFonts w:ascii="Calibri" w:hAnsi="Calibri"/>
          <w:color w:val="606060"/>
          <w:sz w:val="17"/>
        </w:rPr>
        <w:t>• Regolamento UE 2024/1689 (AI Act) — Gazzetta Ufficiale UE</w:t>
      </w:r>
    </w:p>
    <w:p>
      <w:pPr>
        <w:spacing w:after="40"/>
      </w:pPr>
      <w:r>
        <w:rPr>
          <w:rFonts w:ascii="Calibri" w:hAnsi="Calibri"/>
          <w:color w:val="606060"/>
          <w:sz w:val="17"/>
        </w:rPr>
        <w:t>• Prima Pagina News — 'Il governo vara i decreti sull'intelligenza artificiale: l'Italia prima in Europa'</w:t>
      </w:r>
    </w:p>
    <w:p>
      <w:pPr>
        <w:spacing w:after="40"/>
      </w:pPr>
      <w:r>
        <w:rPr>
          <w:rFonts w:ascii="Calibri" w:hAnsi="Calibri"/>
          <w:color w:val="606060"/>
          <w:sz w:val="17"/>
        </w:rPr>
        <w:t>• Punto Informatico — 'Legge italiana sull'AI: governo approva decreti attuativi'</w:t>
      </w:r>
    </w:p>
    <w:p>
      <w:pPr>
        <w:spacing w:after="40"/>
      </w:pPr>
      <w:r>
        <w:rPr>
          <w:rFonts w:ascii="Calibri" w:hAnsi="Calibri"/>
          <w:color w:val="606060"/>
          <w:sz w:val="17"/>
        </w:rPr>
        <w:t>• Altalex — 'Decreti attuativi legge AI 132/2025: governance e responsabilita' professionale'</w:t>
      </w:r>
    </w:p>
    <w:p>
      <w:pPr>
        <w:spacing w:after="40"/>
      </w:pPr>
      <w:r>
        <w:rPr>
          <w:rFonts w:ascii="Calibri" w:hAnsi="Calibri"/>
          <w:color w:val="606060"/>
          <w:sz w:val="17"/>
        </w:rPr>
        <w:t>• Gility Mag — 'Legge 132/2025: guida completa alla conformita' (con riferimenti all'AI Act)'</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