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Normativa e Compliance AI</w:t>
      </w:r>
    </w:p>
    <w:p/>
    <w:p>
      <w:pPr>
        <w:spacing w:after="120"/>
        <w:jc w:val="left"/>
      </w:pPr>
      <w:r>
        <w:rPr>
          <w:rFonts w:ascii="Calibri" w:hAnsi="Calibri"/>
          <w:b/>
          <w:color w:val="1F497D"/>
          <w:sz w:val="48"/>
        </w:rPr>
        <w:t>Il 2 agosto si avvicina: cosa devono fare le imprese</w:t>
        <w:br/>
        <w:t>che usano sistemi AI</w:t>
      </w:r>
    </w:p>
    <w:p>
      <w:pPr>
        <w:spacing w:after="200"/>
        <w:jc w:val="left"/>
      </w:pPr>
      <w:r>
        <w:rPr>
          <w:rFonts w:ascii="Calibri" w:hAnsi="Calibri"/>
          <w:i/>
          <w:color w:val="2E74B5"/>
          <w:sz w:val="26"/>
        </w:rPr>
        <w:t>La piena applicazione dell’AI Act europeo è a meno di cento giorni. La maggioranza delle PMI italiane non ha ancora avviato l’inventario dei propri sistemi.</w:t>
      </w:r>
    </w:p>
    <w:p>
      <w:pPr>
        <w:spacing w:after="40" w:before="40"/>
        <w:pBdr>
          <w:bottom w:val="single" w:sz="6" w:space="1" w:color="1F497D"/>
        </w:pBdr>
      </w:pPr>
    </w:p>
    <w:p>
      <w:pPr>
        <w:spacing w:after="320"/>
        <w:jc w:val="left"/>
      </w:pPr>
      <w:r>
        <w:rPr>
          <w:rFonts w:ascii="Calibri" w:hAnsi="Calibri"/>
          <w:color w:val="808080"/>
          <w:sz w:val="18"/>
        </w:rPr>
        <w:t>A cura della Redazione Ratio  •  24 aprile 2026</w:t>
      </w:r>
    </w:p>
    <w:p>
      <w:pPr>
        <w:spacing w:after="160" w:line="320" w:lineRule="exact"/>
        <w:jc w:val="both"/>
      </w:pPr>
      <w:r>
        <w:rPr>
          <w:rFonts w:ascii="Calibri" w:hAnsi="Calibri"/>
          <w:sz w:val="22"/>
        </w:rPr>
        <w:t>Se la tua azienda usa un chatbot per rispondere ai clienti, un sistema di analisi delle fatture, un software di selezione del personale che include un punteggio automatico, o anche solo un assistente virtuale integrato in Microsoft 365, il 2 agosto 2026 è una data che ti riguarda direttamente. Da quel giorno entra in piena applicazione il Regolamento (UE) 2024/1689, l’AI Act europeo, con tutti gli obblighi relativi ai sistemi di intelligenza artificiale classificati ad alto rischio. Il livello di preparazione delle PMI italiane, stando ai dati disponibili, è preoccupante.</w:t>
      </w:r>
    </w:p>
    <w:p>
      <w:pPr>
        <w:spacing w:before="280" w:after="120"/>
      </w:pPr>
      <w:r>
        <w:rPr>
          <w:rFonts w:ascii="Calibri" w:hAnsi="Calibri"/>
          <w:b/>
          <w:color w:val="1F497D"/>
          <w:sz w:val="24"/>
        </w:rPr>
        <w:t>Chi è coinvolto: più aziende di quanto si pensi</w:t>
      </w:r>
    </w:p>
    <w:p>
      <w:pPr>
        <w:spacing w:after="160" w:line="320" w:lineRule="exact"/>
        <w:jc w:val="both"/>
      </w:pPr>
      <w:r>
        <w:rPr>
          <w:rFonts w:ascii="Calibri" w:hAnsi="Calibri"/>
          <w:sz w:val="22"/>
        </w:rPr>
        <w:t>Il punto critico che molte aziende sottovalutano riguarda il campo di applicazione. L’AI Act non riguarda solo chi sviluppa software: si applica anche a chi acquista e utilizza sistemi AI già pronti. Se il tuo gestionale HR valuta automaticamente le candidature, se il tuo software di credito assegna uno scoring ai clienti, se il tuo strumento di analisi dei dati prende decisioni con impatto sulle persone, la normativa ti riguarda come “deployer”, ovvero come utilizzatore finale. Molte PMI si sentono al riparo perché non sviluppano software. Questo è un errore di lettura della norma che può avere conseguenze concrete.</w:t>
      </w:r>
    </w:p>
    <w:p>
      <w:pPr>
        <w:spacing w:after="160" w:line="320" w:lineRule="exact"/>
        <w:jc w:val="both"/>
      </w:pPr>
      <w:r>
        <w:rPr>
          <w:rFonts w:ascii="Calibri" w:hAnsi="Calibri"/>
          <w:sz w:val="22"/>
        </w:rPr>
        <w:t>L’Italia ha recepito l’AI Act con la Legge 132/2025, entrata in vigore il 10 ottobre 2025, che introduce una doppia compliance particolarmente rilevante per i professionisti. Oltre agli obblighi europei sui sistemi ad alto rischio, la legge italiana prevede già da subito un obbligo di informativa ai clienti sull’uso di sistemi AI nello svolgimento dell’incarico professionale. Si tratta di un adempimento a sé stante, indipendente dalla classificazione del sistema: qualunque professionista che usi strumenti AI nello studio (anche ChatGPT per redigere una lettera) deve informare il cliente in modo chiaro e comprensibile.</w:t>
      </w:r>
    </w:p>
    <w:p>
      <w:pPr>
        <w:spacing w:before="280" w:after="120"/>
      </w:pPr>
      <w:r>
        <w:rPr>
          <w:rFonts w:ascii="Calibri" w:hAnsi="Calibri"/>
          <w:b/>
          <w:color w:val="1F497D"/>
          <w:sz w:val="24"/>
        </w:rPr>
        <w:t>Le scadenze concrete del secondo semestre 2026</w:t>
      </w:r>
    </w:p>
    <w:p>
      <w:pPr>
        <w:spacing w:after="160" w:line="320" w:lineRule="exact"/>
        <w:jc w:val="both"/>
      </w:pPr>
      <w:r>
        <w:rPr>
          <w:rFonts w:ascii="Calibri" w:hAnsi="Calibri"/>
          <w:sz w:val="22"/>
        </w:rPr>
        <w:t>Le scadenze di questo secondo semestre si articolano su tre livelli operativi. Fino al 2 agosto, le aziende devono completare l’inventario dei sistemi AI in uso, classificarli secondo i criteri del Regolamento (rischio inaccettabile, alto rischio, rischio limitato, rischio minimo) e avviare le procedure di conformità per i sistemi ad alto rischio. Dal 2 agosto in poi, chi utilizza sistemi ad alto rischio deve garantire supervisione umana adeguata, conservare i log delle decisioni automatizzate, assicurare la qualità dei dati di input e disporre di documentazione tecnica aggiornata. Le sanzioni per la non conformità possono arrivare fino al 7% del fatturato globale annuo o 35 milioni di euro, con la soglia più alta che si applica tra le due.</w:t>
      </w:r>
    </w:p>
    <w:p>
      <w:pPr>
        <w:spacing w:after="160" w:line="320" w:lineRule="exact"/>
        <w:jc w:val="both"/>
      </w:pPr>
      <w:r>
        <w:rPr>
          <w:rFonts w:ascii="Calibri" w:hAnsi="Calibri"/>
          <w:sz w:val="22"/>
        </w:rPr>
        <w:t>Un aspetto che genera confusione pratica riguarda la classificazione. Non tutti i sistemi AI rientrano nell’alto rischio: la stragrande maggioranza degli strumenti generativi usati quotidianamente negli studi professionali (assistenti per la redazione di testi, riassunti di documenti, supporto alla ricerca normativa) ricade nella categoria a rischio limitato, con obblighi molto più leggeri, essenzialmente di trasparenza verso l’utente finale. I sistemi ad alto rischio sono quelli che incidono su decisioni con impatto significativo sulle persone: accesso al credito, selezione del personale, istruzione, sicurezza di prodotti, assistenza sanitaria. Per la maggior parte degli studi professionali il rischio principale è nella categoria limitato, non nell’alto rischio, ma occorre saperlo con certezza e non per ipotesi.</w:t>
      </w:r>
    </w:p>
    <w:p>
      <w:pPr>
        <w:spacing w:before="280" w:after="120"/>
      </w:pPr>
      <w:r>
        <w:rPr>
          <w:rFonts w:ascii="Calibri" w:hAnsi="Calibri"/>
          <w:b/>
          <w:color w:val="1F497D"/>
          <w:sz w:val="24"/>
        </w:rPr>
        <w:t>Da dove iniziare: l’inventario come primo atto concreto</w:t>
      </w:r>
    </w:p>
    <w:p>
      <w:pPr>
        <w:spacing w:after="160" w:line="320" w:lineRule="exact"/>
        <w:jc w:val="both"/>
      </w:pPr>
      <w:r>
        <w:rPr>
          <w:rFonts w:ascii="Calibri" w:hAnsi="Calibri"/>
          <w:sz w:val="22"/>
        </w:rPr>
        <w:t>Per la maggior parte degli studi professionali e delle PMI italiane, il percorso verso la conformità parte da un’azione concreta e non costosa: l’inventario. Si tratta di elencare tutti i sistemi AI in uso (compresi quelli integrati in software già acquistati), verificare se il fornitore li ha classificati secondo l’AI Act, richiedere la documentazione tecnica e valutare se esiste supervisione umana sui processi decisionali automatizzati. Questa attività, che richiede qualche giornata di lavoro con il supporto di un consulente esperto, è la base da cui tutto il resto dipende. Non si può gestire la conformità di sistemi che non si sa di avere.</w:t>
      </w:r>
    </w:p>
    <w:p>
      <w:pPr>
        <w:spacing w:after="160" w:line="320" w:lineRule="exact"/>
        <w:jc w:val="both"/>
      </w:pPr>
      <w:r>
        <w:rPr>
          <w:rFonts w:ascii="Calibri" w:hAnsi="Calibri"/>
          <w:sz w:val="22"/>
        </w:rPr>
        <w:t>Vale la pena ricordare che molti fornitori di software gestionale e di piattaforme business hanno già avviato i propri percorsi di conformità all’AI Act e mettono a disposizione dei clienti la documentazione necessaria. Il lavoro richiesto all’azienda utilizzatrice non è quindi duplicare quello del fornitore, ma verificare che la propria configurazione e il proprio uso del sistema siano conformi, e che la supervisione umana richiesta sia effettivamente garantita nei processi operativi.</w:t>
      </w:r>
    </w:p>
    <w:p>
      <w:pPr>
        <w:spacing w:before="280" w:after="120"/>
      </w:pPr>
      <w:r>
        <w:rPr>
          <w:rFonts w:ascii="Calibri" w:hAnsi="Calibri"/>
          <w:b/>
          <w:color w:val="1F497D"/>
          <w:sz w:val="24"/>
        </w:rPr>
        <w:t>Cosa succede se non si è pronti il 2 agosto</w:t>
      </w:r>
    </w:p>
    <w:p>
      <w:pPr>
        <w:spacing w:after="160" w:line="320" w:lineRule="exact"/>
        <w:jc w:val="both"/>
      </w:pPr>
      <w:r>
        <w:rPr>
          <w:rFonts w:ascii="Calibri" w:hAnsi="Calibri"/>
          <w:sz w:val="22"/>
        </w:rPr>
        <w:t>Chi arriva al 2 agosto senza aver svolto questa analisi si trova in una posizione di rischio operativo difficile da gestire rapidamente. L’AI Act, a differenza di molte normative precedenti, non prevede un lungo periodo di tolleranza dopo la scadenza. Le autorità nazionali competenti (in Italia, AGID e ACN per i profili tecnici, il Garante Privacy per quelli relativi ai dati personali) hanno già avviato le attività preparatorie per la vigilanza. Le prime verifiche potranno riguardare le categorie più esposte: aziende del settore finanziario, HR, sanitario e della pubblica amministrazione, ma il perimetro si allargherà progressivamente.</w:t>
      </w:r>
    </w:p>
    <w:p>
      <w:pPr>
        <w:spacing w:after="160" w:line="320" w:lineRule="exact"/>
        <w:jc w:val="both"/>
      </w:pPr>
      <w:r>
        <w:rPr>
          <w:rFonts w:ascii="Calibri" w:hAnsi="Calibri"/>
          <w:sz w:val="22"/>
        </w:rPr>
        <w:t>Cominciare adesso significa avere ancora il tempo di fare l’inventario con metodo, coinvolgere i fornitori nella raccolta della documentazione e, se necessario, adeguare i processi prima della scadenza, senza delegare a consulenti di urgenza decisioni che dovrebbero essere scelte strategiche. Chi aspetta luglio si troverà a fare in fretta ciò che avrebbe potuto fare bene.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 AI Act (GU UE, 12 luglio 2024)</w:t>
      </w:r>
    </w:p>
    <w:p>
      <w:pPr>
        <w:spacing w:after="40"/>
      </w:pPr>
      <w:r>
        <w:rPr>
          <w:rFonts w:ascii="Calibri" w:hAnsi="Calibri"/>
          <w:color w:val="606060"/>
          <w:sz w:val="17"/>
        </w:rPr>
        <w:t>• Legge 132/2025 (Italia) — Disposizioni nazionali in materia di intelligenza artificiale</w:t>
      </w:r>
    </w:p>
    <w:p>
      <w:pPr>
        <w:spacing w:after="40"/>
      </w:pPr>
      <w:r>
        <w:rPr>
          <w:rFonts w:ascii="Calibri" w:hAnsi="Calibri"/>
          <w:color w:val="606060"/>
          <w:sz w:val="17"/>
        </w:rPr>
        <w:t>• AGID / ACN — Comunicazioni sulle autorità nazionali competenti AI Act</w:t>
      </w:r>
    </w:p>
    <w:p>
      <w:pPr>
        <w:spacing w:after="40"/>
      </w:pPr>
      <w:r>
        <w:rPr>
          <w:rFonts w:ascii="Calibri" w:hAnsi="Calibri"/>
          <w:color w:val="606060"/>
          <w:sz w:val="17"/>
        </w:rPr>
        <w:t>• Garante per la Protezione dei Dati Personali — Orientamenti sull’uso dell’AI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