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Responsabilità Professionale</w:t>
      </w:r>
    </w:p>
    <w:p/>
    <w:p>
      <w:pPr>
        <w:spacing w:after="120"/>
        <w:jc w:val="left"/>
      </w:pPr>
      <w:r>
        <w:rPr>
          <w:rFonts w:ascii="Calibri" w:hAnsi="Calibri"/>
          <w:b/>
          <w:color w:val="1F497D"/>
          <w:sz w:val="48"/>
        </w:rPr>
        <w:t>Cosa firma il commercialista</w:t>
        <w:br/>
        <w:t>quando firma con l'AI nel mezzo</w:t>
      </w:r>
    </w:p>
    <w:p>
      <w:pPr>
        <w:spacing w:after="200"/>
        <w:jc w:val="left"/>
      </w:pPr>
      <w:r>
        <w:rPr>
          <w:rFonts w:ascii="Calibri" w:hAnsi="Calibri"/>
          <w:i/>
          <w:color w:val="2E74B5"/>
          <w:sz w:val="26"/>
        </w:rPr>
        <w:t>La Cassazione nel 2026 ha chiarito che trasmettere una dichiarazione equivale a verificarne il contenuto. Con l'AI che redige le bozze, questo principio acquisisce un peso nuovo.</w:t>
      </w:r>
    </w:p>
    <w:p>
      <w:pPr>
        <w:spacing w:after="40" w:before="40"/>
        <w:pBdr>
          <w:bottom w:val="single" w:sz="6" w:space="1" w:color="1F497D"/>
        </w:pBdr>
      </w:pPr>
    </w:p>
    <w:p>
      <w:pPr>
        <w:spacing w:after="320"/>
        <w:jc w:val="left"/>
      </w:pPr>
      <w:r>
        <w:rPr>
          <w:rFonts w:ascii="Calibri" w:hAnsi="Calibri"/>
          <w:color w:val="808080"/>
          <w:sz w:val="18"/>
        </w:rPr>
        <w:t>A cura della Redazione Ratio  •  24 aprile 2026</w:t>
      </w:r>
    </w:p>
    <w:p>
      <w:pPr>
        <w:spacing w:after="160" w:line="320" w:lineRule="exact"/>
        <w:jc w:val="both"/>
      </w:pPr>
      <w:r>
        <w:rPr>
          <w:rFonts w:ascii="Calibri" w:hAnsi="Calibri"/>
          <w:sz w:val="22"/>
        </w:rPr>
        <w:t>L'ordinanza della Corte di Cassazione n. 5635 del 2026 ha confermato una sanzione a carico di un commercialista che si era limitato a trasmettere telematicamente una dichiarazione fiscale senza averla redatta personalmente. La Corte ha stabilito che la firma del professionista implica la verifica nel merito del contenuto, non solo la trasmissione formale del documento. La sentenza riguardava un caso precedente all'AI, ma il principio che afferma vale con forza ancora maggiore oggi, quando i sistemi AI possono redigere bozze, compilare modelli e proporre elaborazioni che il professionista, a volte, approva con un clic.</w:t>
      </w:r>
    </w:p>
    <w:p>
      <w:pPr>
        <w:spacing w:before="280" w:after="120"/>
      </w:pPr>
      <w:r>
        <w:rPr>
          <w:rFonts w:ascii="Calibri" w:hAnsi="Calibri"/>
          <w:b/>
          <w:color w:val="1F497D"/>
          <w:sz w:val="24"/>
        </w:rPr>
        <w:t>L'automation bias: il rischio che non si vede</w:t>
      </w:r>
    </w:p>
    <w:p>
      <w:pPr>
        <w:spacing w:after="160" w:line="320" w:lineRule="exact"/>
        <w:jc w:val="both"/>
      </w:pPr>
      <w:r>
        <w:rPr>
          <w:rFonts w:ascii="Calibri" w:hAnsi="Calibri"/>
          <w:sz w:val="22"/>
        </w:rPr>
        <w:t>Quando un sistema AI genera una bozza di dichiarazione o redige un testo professionale, il rischio concreto è che il professionista lo tratti come se fosse già controllato, riducendo involontariamente la propria soglia di attenzione. Questo fenomeno, documentato in diversi studi sul comportamento umano nell'interazione con sistemi automatizzati, prende il nome di automation bias: tendiamo a fidarci di più dell'output di un sistema automatico rispetto a quello di un collega umano, anche quando non abbiamo basi concrete per farlo. La presentazione ordinata e formalmente corretta di un output AI tende a trasmettere un'impressione di affidabilità che non corrisponde necessariamente alla sostanza del contenuto.</w:t>
      </w:r>
    </w:p>
    <w:p>
      <w:pPr>
        <w:spacing w:after="160" w:line="320" w:lineRule="exact"/>
        <w:jc w:val="both"/>
      </w:pPr>
      <w:r>
        <w:rPr>
          <w:rFonts w:ascii="Calibri" w:hAnsi="Calibri"/>
          <w:sz w:val="22"/>
        </w:rPr>
        <w:t>Nel contesto professionale italiano, l'automation bias si traduce in un rischio deontologico preciso. Se il commercialista usa un sistema AI per pre-compilare una dichiarazione e poi la firma senza una verifica adeguata, sta mettendo la propria responsabilità in mano a un sistema che non risponde degli errori che produce. I sistemi AI sbagliano: commettono errori di calcolo in condizioni particolari, non gestiscono bene le eccezioni normative, possono presentare dati in modo formalmente corretto ma sostanzialmente fuorviante. La responsabilità professionale non si trasferisce al software con la pre-compilazione automatica.</w:t>
      </w:r>
    </w:p>
    <w:p>
      <w:pPr>
        <w:spacing w:before="280" w:after="120"/>
      </w:pPr>
      <w:r>
        <w:rPr>
          <w:rFonts w:ascii="Calibri" w:hAnsi="Calibri"/>
          <w:b/>
          <w:color w:val="1F497D"/>
          <w:sz w:val="24"/>
        </w:rPr>
        <w:t>L'obbligo di informativa: trasparenza che diventa protezione</w:t>
      </w:r>
    </w:p>
    <w:p>
      <w:pPr>
        <w:spacing w:after="160" w:line="320" w:lineRule="exact"/>
        <w:jc w:val="both"/>
      </w:pPr>
      <w:r>
        <w:rPr>
          <w:rFonts w:ascii="Calibri" w:hAnsi="Calibri"/>
          <w:sz w:val="22"/>
        </w:rPr>
        <w:t>La Legge 132/2025 affronta il problema da una prospettiva diversa ma complementare. L'obbligo di informativa al cliente sull'uso di sistemi AI nello svolgimento dell'incarico non è una formalità: è il riconoscimento che il cliente ha il diritto di sapere se la prestazione professionale che sta ricevendo è stata elaborata, anche in parte, da un sistema automatico. Questo obbligo crea un incentivo pratico alla trasparenza: un professionista che comunica al cliente di aver usato un sistema AI per la bozza e di averla poi verificata si vincola anche a quella verifica. La trasparenza, in questo caso, non espone: protegge.</w:t>
      </w:r>
    </w:p>
    <w:p>
      <w:pPr>
        <w:spacing w:after="160" w:line="320" w:lineRule="exact"/>
        <w:jc w:val="both"/>
      </w:pPr>
      <w:r>
        <w:rPr>
          <w:rFonts w:ascii="Calibri" w:hAnsi="Calibri"/>
          <w:sz w:val="22"/>
        </w:rPr>
        <w:t>Dal punto di vista deontologico, comunicare l'uso dell'AI non equivale ad ammettere una diminuzione della qualità del servizio. Significa descrivere il processo con cui il servizio è stato prodotto. Un cliente informato sa che la sua dichiarazione non è stata redatta interamente a mano, ma sa anche che è stata revisionata da un professionista qualificato che ne risponde. Questo è esattamente il modello che distingue un uso professionale dell'AI da un uso irresponsabile.</w:t>
      </w:r>
    </w:p>
    <w:p>
      <w:pPr>
        <w:spacing w:before="280" w:after="120"/>
      </w:pPr>
      <w:r>
        <w:rPr>
          <w:rFonts w:ascii="Calibri" w:hAnsi="Calibri"/>
          <w:b/>
          <w:color w:val="1F497D"/>
          <w:sz w:val="24"/>
        </w:rPr>
        <w:t>Le polizze professionali: cosa verificare prima di usare l'AI sistematicamente</w:t>
      </w:r>
    </w:p>
    <w:p>
      <w:pPr>
        <w:spacing w:after="160" w:line="320" w:lineRule="exact"/>
        <w:jc w:val="both"/>
      </w:pPr>
      <w:r>
        <w:rPr>
          <w:rFonts w:ascii="Calibri" w:hAnsi="Calibri"/>
          <w:sz w:val="22"/>
        </w:rPr>
        <w:t>Alcune polizze di responsabilità civile professionale stanno aggiornando le proprie condizioni per coprire esplicitamente i danni derivanti da errori di sistemi AI usati nello studio. Alcune coperture, però, prevedono esclusioni se il professionista non ha mantenuto una supervisione adeguata sull'output del sistema. Prima di adottare strumenti AI in modo sistematico nello studio, verificare la propria polizza con il broker di riferimento è un atto di prudenza concreta, non un eccesso di cautela. Se la polizza non copre esplicitamente i danni da AI, occorre capire se è necessario un'estensione o una modifica delle condizioni.</w:t>
      </w:r>
    </w:p>
    <w:p>
      <w:pPr>
        <w:spacing w:before="280" w:after="120"/>
      </w:pPr>
      <w:r>
        <w:rPr>
          <w:rFonts w:ascii="Calibri" w:hAnsi="Calibri"/>
          <w:b/>
          <w:color w:val="1F497D"/>
          <w:sz w:val="24"/>
        </w:rPr>
        <w:t>Come costruire procedure interne di controllo</w:t>
      </w:r>
    </w:p>
    <w:p>
      <w:pPr>
        <w:spacing w:after="160" w:line="320" w:lineRule="exact"/>
        <w:jc w:val="both"/>
      </w:pPr>
      <w:r>
        <w:rPr>
          <w:rFonts w:ascii="Calibri" w:hAnsi="Calibri"/>
          <w:sz w:val="22"/>
        </w:rPr>
        <w:t>Il perimetro di responsabilità professionale non si riduce con l'AI: si ridefinisce. Il commercialista non è responsabile di ciò che fa il software, ma lo è di quello che firma. Costruire procedure interne di controllo sull'output AI significa identificare i punti critici del processo (le operazioni straordinarie, le situazioni atipiche, le variazioni di regime), definire chi le controlla e come, e documentare le verifiche effettuate. Questa documentazione non è un onere aggiuntivo: è la prova che lo studio ha gestito lo strumento in modo professionale, utile in caso di contestazione da parte del cliente o dell'Amministrazione Finanziaria.</w:t>
      </w:r>
    </w:p>
    <w:p>
      <w:pPr>
        <w:spacing w:after="160" w:line="320" w:lineRule="exact"/>
        <w:jc w:val="both"/>
      </w:pPr>
      <w:r>
        <w:rPr>
          <w:rFonts w:ascii="Calibri" w:hAnsi="Calibri"/>
          <w:sz w:val="22"/>
        </w:rPr>
        <w:t>Formare i collaboratori a non trattare l'output automatico come già verificato è la parte più difficile di questo percorso, perché richiede un cambiamento di abitudine e non solo l'adozione di uno strumento. Uno studio che ha chiarito internamente il confine tra ciò che il sistema fa e ciò che il professionista deve fare è uno studio che usa l'AI in modo responsabile. La domanda giusta da porsi non è "posso usare l'AI per questo?", ma "come struturo il mio processo affinché l'AI mi aiuti senza abbassare la qualità del mio controllo?"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Corte di Cassazione, ordinanza n. 5635/2026 — Responsabilità del professionista per dichiarazione trasmessa</w:t>
      </w:r>
    </w:p>
    <w:p>
      <w:pPr>
        <w:spacing w:after="40"/>
      </w:pPr>
      <w:r>
        <w:rPr>
          <w:rFonts w:ascii="Calibri" w:hAnsi="Calibri"/>
          <w:color w:val="606060"/>
          <w:sz w:val="17"/>
        </w:rPr>
        <w:t>• Legge 132/2025 — Disposizioni nazionali in materia di intelligenza artificiale, art. 3</w:t>
      </w:r>
    </w:p>
    <w:p>
      <w:pPr>
        <w:spacing w:after="40"/>
      </w:pPr>
      <w:r>
        <w:rPr>
          <w:rFonts w:ascii="Calibri" w:hAnsi="Calibri"/>
          <w:color w:val="606060"/>
          <w:sz w:val="17"/>
        </w:rPr>
        <w:t>• ktsfinance.com — "Assicurazione Professionale Commercialisti e IA: 3 Rischi del 730/2026" (2026)</w:t>
      </w:r>
    </w:p>
    <w:p>
      <w:pPr>
        <w:spacing w:after="40"/>
      </w:pPr>
      <w:r>
        <w:rPr>
          <w:rFonts w:ascii="Calibri" w:hAnsi="Calibri"/>
          <w:color w:val="606060"/>
          <w:sz w:val="17"/>
        </w:rPr>
        <w:t>• costanzoeassociati.it — "Responsabilità del commercialista: Cassazione 2026" (2026)</w:t>
      </w:r>
    </w:p>
    <w:p>
      <w:pPr>
        <w:spacing w:after="40"/>
      </w:pPr>
      <w:r>
        <w:rPr>
          <w:rFonts w:ascii="Calibri" w:hAnsi="Calibri"/>
          <w:color w:val="606060"/>
          <w:sz w:val="17"/>
        </w:rPr>
        <w:t>• ecnews.it — "Intelligenza Artificiale e professioni intellettuali: l'obbligo di trasparenza" (2025)</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