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L'AI Act è in vigore dal 2 agosto. Le imprese italiane sono pronte?</w:t>
      </w:r>
    </w:p>
    <w:p>
      <w:pPr>
        <w:spacing w:after="200" w:line="360"/>
        <w:jc w:val="both"/>
      </w:pPr>
      <w:r>
        <w:rPr>
          <w:rFonts w:ascii="Calibri" w:cs="Calibri" w:eastAsia="Calibri" w:hAnsi="Calibri"/>
          <w:sz w:val="24"/>
          <w:szCs w:val="24"/>
        </w:rPr>
        <w:t xml:space="preserve">Il 2 agosto 2026 è passato per la maggior parte delle aziende italiane senza che succedesse nulla di visibile. Nessuna notifica, nessun obbligo immediato da spuntare in una lista. Eppure da quella data il Regolamento europeo sull'intelligenza artificiale, il cosiddetto AI Act (Reg. UE 2024/1689), è pienamente applicabile per i sistemi classificati come ad alto rischio. Chi usa o fornisce questi sistemi senza aver completato gli adempimenti richiesti è già fuori norma.</w:t>
      </w:r>
    </w:p>
    <w:p>
      <w:pPr>
        <w:spacing w:after="200" w:line="360"/>
        <w:jc w:val="both"/>
      </w:pPr>
      <w:r>
        <w:rPr>
          <w:rFonts w:ascii="Calibri" w:cs="Calibri" w:eastAsia="Calibri" w:hAnsi="Calibri"/>
          <w:sz w:val="24"/>
          <w:szCs w:val="24"/>
        </w:rPr>
        <w:t xml:space="preserve">Il problema è che molte imprese non sanno se i propri sistemi rientrano in quella categoria. La classificazione prevista dall'AI Act non è intuitiva. I sistemi ad alto rischio non sono soltanto i robot autonomi o i veicoli a guida automatica: l'Allegato III del Regolamento include sistemi usati per la gestione delle risorse umane (selezione del personale, valutazione delle prestazioni), l'accesso al credito, la valutazione della solvibilità, i sistemi di scoring usati dalle banche e dalle assicurazioni, e i sistemi impiegati nei processi educativi e formativi. Molte di queste applicazioni sono già in uso nelle aziende italiane, spesso sotto forma di moduli acquistati da fornitori di software gestionale.</w:t>
      </w:r>
    </w:p>
    <w:p>
      <w:pPr>
        <w:spacing w:after="200" w:line="360"/>
        <w:jc w:val="both"/>
      </w:pPr>
      <w:r>
        <w:rPr>
          <w:rFonts w:ascii="Calibri" w:cs="Calibri" w:eastAsia="Calibri" w:hAnsi="Calibri"/>
          <w:sz w:val="24"/>
          <w:szCs w:val="24"/>
        </w:rPr>
        <w:t xml:space="preserve">Detto in termini pratici: se la tua azienda usa un software HR che assegna automaticamente punteggi ai candidati in fase di selezione, o un sistema che classifica i clienti per merito creditizio, o una piattaforma che determina l'accesso a servizi aziendali sulla base di profili calcolati, probabilmente stai usando un sistema ad alto rischio ai sensi del Regolamento.</w:t>
      </w:r>
    </w:p>
    <w:p>
      <w:pPr>
        <w:spacing w:after="200" w:line="360"/>
        <w:jc w:val="both"/>
      </w:pPr>
      <w:r>
        <w:rPr>
          <w:rFonts w:ascii="Calibri" w:cs="Calibri" w:eastAsia="Calibri" w:hAnsi="Calibri"/>
          <w:sz w:val="24"/>
          <w:szCs w:val="24"/>
        </w:rPr>
        <w:t xml:space="preserve">Gli obblighi variano a seconda di chi sei nella catena del valore. Il fornitore del sistema, cioè chi lo ha sviluppato e lo mette sul mercato, deve predisporre una documentazione tecnica completa, implementare un sistema di gestione del rischio, garantire la supervisione umana e registrare il sistema nella banca dati europea istituita dalla Commissione. L'utilizzatore, cioè l'azienda che acquista e mette in uso il sistema, ha a sua volta obblighi: deve effettuare una valutazione d'impatto sui diritti fondamentali, predisporre una DPIA congiunta con quella prevista dal GDPR quando il sistema tratta dati personali, e assicurare che gli operatori siano formati sull'uso corretto dello strumento.</w:t>
      </w:r>
    </w:p>
    <w:p>
      <w:pPr>
        <w:spacing w:after="200" w:line="360"/>
        <w:jc w:val="both"/>
      </w:pPr>
      <w:r>
        <w:rPr>
          <w:rFonts w:ascii="Calibri" w:cs="Calibri" w:eastAsia="Calibri" w:hAnsi="Calibri"/>
          <w:sz w:val="24"/>
          <w:szCs w:val="24"/>
        </w:rPr>
        <w:t xml:space="preserve">In Italia, la legge 23 settembre 2025, n. 132, entrata in vigore il 10 ottobre 2025, ha designato l'Agenzia per l'Italia Digitale (AgID) come autorità nazionale di vigilanza, con la collaborazione dell'Agenzia per la Cybersicurezza Nazionale (ACN) per gli aspetti legati alla sicurezza informatica. Queste autorità possono avviare ispezioni, richiedere documentazione e comminare sanzioni. Le sanzioni previste dall'AI Act sono significative: fino a 35 milioni di euro o il 7% del fatturato globale annuo per le violazioni più gravi.</w:t>
      </w:r>
    </w:p>
    <w:p>
      <w:pPr>
        <w:spacing w:after="200" w:line="360"/>
        <w:jc w:val="both"/>
      </w:pPr>
      <w:r>
        <w:rPr>
          <w:rFonts w:ascii="Calibri" w:cs="Calibri" w:eastAsia="Calibri" w:hAnsi="Calibri"/>
          <w:sz w:val="24"/>
          <w:szCs w:val="24"/>
        </w:rPr>
        <w:t xml:space="preserve">Il punto che merita attenzione è che la valutazione di conformità non si esaurisce con una dichiarazione formale. Richiede un lavoro di mappatura dei sistemi usati in azienda, un'analisi del rischio, la verifica di quanto i fornitori stiano rispettando a loro volta gli obblighi previsti per chi mette i sistemi sul mercato. In molti casi, i contratti con i fornitori di software dovranno essere aggiornati per includere clausole specifiche sulla conformità all'AI Act.</w:t>
      </w:r>
    </w:p>
    <w:p>
      <w:pPr>
        <w:spacing w:after="200" w:line="360"/>
        <w:jc w:val="both"/>
      </w:pPr>
      <w:r>
        <w:rPr>
          <w:rFonts w:ascii="Calibri" w:cs="Calibri" w:eastAsia="Calibri" w:hAnsi="Calibri"/>
          <w:sz w:val="24"/>
          <w:szCs w:val="24"/>
        </w:rPr>
        <w:t xml:space="preserve">Per le PMI, che raramente dispongono di un ufficio legale interno o di un DPO a tempo pieno, questo può sembrare un peso sproporzionato. La realtà è che il punto di partenza è più gestibile di quanto sembri. La prima cosa da fare è un inventario: quali sistemi che usate in azienda fanno uso di AI o di sistemi di decisione automatizzata? Di questi, quali influenzano decisioni su persone (dipendenti, clienti, fornitori)? Questo inventario non richiede competenze tecniche avanzate: richiede una mappatura dei processi che ogni azienda ben organizzata dovrebbe avere comunque.</w:t>
      </w:r>
    </w:p>
    <w:p>
      <w:pPr>
        <w:spacing w:after="200" w:line="360"/>
        <w:jc w:val="both"/>
      </w:pPr>
      <w:r>
        <w:rPr>
          <w:rFonts w:ascii="Calibri" w:cs="Calibri" w:eastAsia="Calibri" w:hAnsi="Calibri"/>
          <w:sz w:val="24"/>
          <w:szCs w:val="24"/>
        </w:rPr>
        <w:t xml:space="preserve">Il secondo passaggio è verificare con i propri fornitori di software in che modo stanno gestendo gli adempimenti previsti dal Regolamento. Le aziende che forniscono sistemi ad alto rischio devono poter fornire documentazione tecnica e dichiarazione di conformità. Se un fornitore non è in grado di fornire queste informazioni, è un segnale da non ignorare.</w:t>
      </w:r>
    </w:p>
    <w:p>
      <w:pPr>
        <w:spacing w:after="200" w:line="360"/>
        <w:jc w:val="both"/>
      </w:pPr>
      <w:r>
        <w:rPr>
          <w:rFonts w:ascii="Calibri" w:cs="Calibri" w:eastAsia="Calibri" w:hAnsi="Calibri"/>
          <w:sz w:val="24"/>
          <w:szCs w:val="24"/>
        </w:rPr>
        <w:t xml:space="preserve">Chi ha già avviato questo processo racconta di un lavoro più contenuto di quanto temesse, soprattutto se si parte dall'inventario dei sistemi invece che dalla lettura del testo del Regolamento. Le difficoltà maggiori non riguardano la conformità in sé, ma la comprensione di quali sistemi siano effettivamente in scope: la classificazione ad alto rischio ha confini che spesso non coincidono con l'intuizione comune.</w:t>
      </w:r>
    </w:p>
    <w:p>
      <w:pPr>
        <w:spacing w:after="200" w:line="360"/>
        <w:jc w:val="both"/>
      </w:pPr>
      <w:r>
        <w:rPr>
          <w:rFonts w:ascii="Calibri" w:cs="Calibri" w:eastAsia="Calibri" w:hAnsi="Calibri"/>
          <w:sz w:val="24"/>
          <w:szCs w:val="24"/>
        </w:rPr>
        <w:t xml:space="preserve">Dal 2 agosto in poi, la questione non è più "quando entrerà in vigore l'AI Act". La domanda da farsi oggi è: ho già mappato i sistemi AI che uso, so quali sono ad alto rischio, e ho verificato che i miei fornitori stiano rispettando gli obblighi che la legge impone loro?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2026-09-11T08:14:16.904Z</dcterms:created>
  <dcterms:modified xsi:type="dcterms:W3CDTF">2026-09-11T08:14:16.905Z</dcterms:modified>
</cp:coreProperties>
</file>

<file path=docProps/custom.xml><?xml version="1.0" encoding="utf-8"?>
<Properties xmlns="http://schemas.openxmlformats.org/officeDocument/2006/custom-properties" xmlns:vt="http://schemas.openxmlformats.org/officeDocument/2006/docPropsVTypes"/>
</file>