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Citazioni inventate e documenti falsi: il prezzo delle allucinazioni AI nei documenti professionali</w:t>
      </w:r>
    </w:p>
    <w:p>
      <w:pPr>
        <w:spacing w:after="200" w:line="360"/>
        <w:jc w:val="both"/>
      </w:pPr>
      <w:r>
        <w:rPr>
          <w:rFonts w:ascii="Calibri" w:cs="Calibri" w:eastAsia="Calibri" w:hAnsi="Calibri"/>
          <w:sz w:val="24"/>
          <w:szCs w:val="24"/>
        </w:rPr>
        <w:t xml:space="preserve">A febbraio 2026, il Tribunale di Siracusa ha emesso una sentenza che ha fatto discutere negli ambienti forensi italiani. Un avvocato era stato condannato per aver depositato un atto contenente citazioni giurisprudenziali inesistenti: sentenze con numeri di registro, date e massime che sembravano reali ma non lo erano. Le aveva generate un sistema di intelligenza artificiale generativa. L'avvocato le aveva incluse nell'atto senza verificarle.</w:t>
      </w:r>
    </w:p>
    <w:p>
      <w:pPr>
        <w:spacing w:after="200" w:line="360"/>
        <w:jc w:val="both"/>
      </w:pPr>
      <w:r>
        <w:rPr>
          <w:rFonts w:ascii="Calibri" w:cs="Calibri" w:eastAsia="Calibri" w:hAnsi="Calibri"/>
          <w:sz w:val="24"/>
          <w:szCs w:val="24"/>
        </w:rPr>
        <w:t xml:space="preserve">Il fenomeno non è nuovo a livello internazionale. Nel 2023, un caso simile aveva coinvolto due avvocati americani che avevano citato sentenze inventate dalla versione iniziale di ChatGPT in una causa federale. Quello che è cambiato, da allora, è che i sistemi di AI sono diventati molto più convincenti. Le citazioni che generano oggi non hanno più l'aspetto grezzo dei primi esperimenti: sono formattate correttamente, contengono riferimenti interni coerenti, usano il lessico proprio della giurisprudenza del paese per cui scrivono. Riconoscere a occhio nudo una citazione inventata da una reale è diventato molto più difficile.</w:t>
      </w:r>
    </w:p>
    <w:p>
      <w:pPr>
        <w:spacing w:after="200" w:line="360"/>
        <w:jc w:val="both"/>
      </w:pPr>
      <w:r>
        <w:rPr>
          <w:rFonts w:ascii="Calibri" w:cs="Calibri" w:eastAsia="Calibri" w:hAnsi="Calibri"/>
          <w:sz w:val="24"/>
          <w:szCs w:val="24"/>
        </w:rPr>
        <w:t xml:space="preserve">Questo è il nucleo del problema che riguarda non solo gli avvocati, ma tutti i professionisti che usano strumenti AI per produrre documenti con contenuto fattuale: commercialisti che elaborano perizie, consulenti del lavoro che analizzano normative, revisori che richiamano standard tecnici in relazioni di bilancio. Le allucinazioni dell'AI non si manifestano solo nella forma delle citazioni inesistenti. Possono comparire come dati numerici plausibili ma errati, come riferimenti normativi che non corrispondono al testo in vigore, come riassunti di contratti che omettono clausole rilevanti, come analisi che tralasciano eccezioni significative.</w:t>
      </w:r>
    </w:p>
    <w:p>
      <w:pPr>
        <w:spacing w:after="200" w:line="360"/>
        <w:jc w:val="both"/>
      </w:pPr>
      <w:r>
        <w:rPr>
          <w:rFonts w:ascii="Calibri" w:cs="Calibri" w:eastAsia="Calibri" w:hAnsi="Calibri"/>
          <w:sz w:val="24"/>
          <w:szCs w:val="24"/>
        </w:rPr>
        <w:t xml:space="preserve">La caratteristica che rende le allucinazioni particolarmente insidiose nei contesti professionali è che non sono distribuibili uniformemente: il sistema di AI non sbaglia sempre sulle stesse cose, e non segnala sistematicamente quando sta per sbagliare. Può produrre cento risposte corrette e poi una errata, senza che dall'output sia possibile distinguere il caso problematico. Questo obbliga a una verifica che non può essere selettiva: non si può controllare solo la parte dell'atto che sembra meno certa, perché le allucinazioni tendono a presentarsi proprio nelle parti che sembrano più solide.</w:t>
      </w:r>
    </w:p>
    <w:p>
      <w:pPr>
        <w:spacing w:after="200" w:line="360"/>
        <w:jc w:val="both"/>
      </w:pPr>
      <w:r>
        <w:rPr>
          <w:rFonts w:ascii="Calibri" w:cs="Calibri" w:eastAsia="Calibri" w:hAnsi="Calibri"/>
          <w:sz w:val="24"/>
          <w:szCs w:val="24"/>
        </w:rPr>
        <w:t xml:space="preserve">Sul piano della responsabilità professionale, il quadro italiano è abbastanza chiaro, anche se le norme non sono state scritte pensando all'AI. Il professionista che firma un documento risponde del suo contenuto, indipendentemente dagli strumenti usati per produrlo. Non fa differenza se l'errore è stato generato da un sistema automatico, da un collaboratore, o dallo stesso professionista. Quello che conta è che la firma attesta, implicitamente, una verifica del contenuto. Questa interpretazione è coerente con i principi generali della responsabilità professionale, e con le norme deontologiche che regolano le professioni ordinistiche in Italia.</w:t>
      </w:r>
    </w:p>
    <w:p>
      <w:pPr>
        <w:spacing w:after="200" w:line="360"/>
        <w:jc w:val="both"/>
      </w:pPr>
      <w:r>
        <w:rPr>
          <w:rFonts w:ascii="Calibri" w:cs="Calibri" w:eastAsia="Calibri" w:hAnsi="Calibri"/>
          <w:sz w:val="24"/>
          <w:szCs w:val="24"/>
        </w:rPr>
        <w:t xml:space="preserve">La legge italiana 132/2025, che ha recepito e integrato l'AI Act europeo, non modifica questo assetto ma lo rafforza in modo indiretto. Imponendo obblighi di supervisione umana sui sistemi ad alto rischio, il Regolamento codifica a livello normativo il principio che l'automazione non esonera il professionista dalla responsabilità sul risultato finale. Chi usa un sistema AI classificato ad alto rischio deve poter dimostrare di aver esercitato un controllo effettivo sull'output.</w:t>
      </w:r>
    </w:p>
    <w:p>
      <w:pPr>
        <w:spacing w:after="200" w:line="360"/>
        <w:jc w:val="both"/>
      </w:pPr>
      <w:r>
        <w:rPr>
          <w:rFonts w:ascii="Calibri" w:cs="Calibri" w:eastAsia="Calibri" w:hAnsi="Calibri"/>
          <w:sz w:val="24"/>
          <w:szCs w:val="24"/>
        </w:rPr>
        <w:t xml:space="preserve">La conseguenza pratica è che le polizze di responsabilità civile professionale iniziano a porre domande specifiche sull'uso dell'AI. Alcune compagnie assicurative stanno già includendo clausole che subordinano la copertura all'adozione di procedure di controllo documentate. Un documento prodotto interamente da un sistema AI senza verifica tracciabile può non essere coperto in caso di sinistro. Questo cambiamento non è ancora diffuso capillarmente nel mercato italiano, ma la direzione è chiara.</w:t>
      </w:r>
    </w:p>
    <w:p>
      <w:pPr>
        <w:spacing w:after="200" w:line="360"/>
        <w:jc w:val="both"/>
      </w:pPr>
      <w:r>
        <w:rPr>
          <w:rFonts w:ascii="Calibri" w:cs="Calibri" w:eastAsia="Calibri" w:hAnsi="Calibri"/>
          <w:sz w:val="24"/>
          <w:szCs w:val="24"/>
        </w:rPr>
        <w:t xml:space="preserve">Sul piano operativo, la risposta non è smettere di usare l'AI nei documenti professionali: le efficienze sono reali e significative, e ignorarle sarebbe una scelta sbagliata. La risposta è costruire una procedura di verifica proporzionata al rischio. Per un documento con contenuto fattuale verificabile (citazioni, dati numerici, riferimenti normativi), la verifica deve essere sistematica e tracciabile: ogni elemento fattuale va controllato alla fonte, non affidato alla plausibilità dell'output. Per documenti con contenuto valutativo (analisi, interpretazioni, raccomandazioni), il professionista deve essere in grado di spiegare il ragionamento sottostante indipendentemente da quanto ha scritto il sistema.</w:t>
      </w:r>
    </w:p>
    <w:p>
      <w:pPr>
        <w:spacing w:after="200" w:line="360"/>
        <w:jc w:val="both"/>
      </w:pPr>
      <w:r>
        <w:rPr>
          <w:rFonts w:ascii="Calibri" w:cs="Calibri" w:eastAsia="Calibri" w:hAnsi="Calibri"/>
          <w:sz w:val="24"/>
          <w:szCs w:val="24"/>
        </w:rPr>
        <w:t xml:space="preserve">L'errore cognitivo più comune nell'uso professionale dell'AI è quello dell'automazione complacency: la tendenza a ridurre il livello di attenzione critica davanti a un output che sembra corretto. L'AI produce testi scorrevoli, ben strutturati, grammaticalmente impeccabili. Questa qualità formale può indurre a una lettura meno attenta di quanto si farebbe con un testo prodotto da un collaboratore umano. La pratica contraria, leggere criticamente l'output dell'AI come se fosse una bozza da verificare e non un documento da rifinire, è la principale protezione disponibile.</w:t>
      </w:r>
    </w:p>
    <w:p>
      <w:pPr>
        <w:spacing w:after="200" w:line="360"/>
        <w:jc w:val="both"/>
      </w:pPr>
      <w:r>
        <w:rPr>
          <w:rFonts w:ascii="Calibri" w:cs="Calibri" w:eastAsia="Calibri" w:hAnsi="Calibri"/>
          <w:sz w:val="24"/>
          <w:szCs w:val="24"/>
        </w:rPr>
        <w:t xml:space="preserve">Chi firma un atto, una relazione, una perizia, si assume la responsabilità di quel documento. L'AI non ha partita IVA, non è iscritta a un albo, non è assicurata. Chi risponde è la persona fisica che ha apposto la propria firma. Ricordarlo non serve a rinunciare agli strumenti: serve a usarli con la consapevolezza del ruolo che si svolge.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2026-09-11T08:14:17.122Z</dcterms:created>
  <dcterms:modified xsi:type="dcterms:W3CDTF">2026-09-11T08:14:17.123Z</dcterms:modified>
</cp:coreProperties>
</file>

<file path=docProps/custom.xml><?xml version="1.0" encoding="utf-8"?>
<Properties xmlns="http://schemas.openxmlformats.org/officeDocument/2006/custom-properties" xmlns:vt="http://schemas.openxmlformats.org/officeDocument/2006/docPropsVTypes"/>
</file>