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Luglio 2026  |  Normativa AI</w:t>
      </w:r>
    </w:p>
    <w:p/>
    <w:p>
      <w:pPr>
        <w:spacing w:after="120"/>
        <w:jc w:val="left"/>
      </w:pPr>
      <w:r>
        <w:rPr>
          <w:rFonts w:ascii="Calibri" w:hAnsi="Calibri"/>
          <w:b/>
          <w:color w:val="1F497D"/>
          <w:sz w:val="48"/>
        </w:rPr>
        <w:t>Il chatbot del vostro sito sa presentarsi?</w:t>
        <w:br/>
        <w:t>Dal 2 agosto è obbligatorio.</w:t>
      </w:r>
    </w:p>
    <w:p>
      <w:pPr>
        <w:spacing w:after="200"/>
        <w:jc w:val="left"/>
      </w:pPr>
      <w:r>
        <w:rPr>
          <w:rFonts w:ascii="Calibri" w:hAnsi="Calibri"/>
          <w:i/>
          <w:color w:val="2E74B5"/>
          <w:sz w:val="26"/>
        </w:rPr>
        <w:t>Il 20 luglio 2026 la Commissione europea ha pubblicato le linee guida finali sull’articolo 50 dell’AI Act: i sistemi conversazionali devono dichiarare la propria natura artificiale prima di ogni interazione. Mancano nove giorni. L’adempimento tecnico è tra i meno complessi dell’intero Regolamento, ma molte aziende non sanno ancora di rientrare nell’obbligo.</w:t>
      </w:r>
    </w:p>
    <w:p>
      <w:pPr>
        <w:spacing w:after="40" w:before="40"/>
        <w:pBdr>
          <w:bottom w:val="single" w:sz="6" w:space="1" w:color="1F497D"/>
        </w:pBdr>
      </w:pPr>
    </w:p>
    <w:p>
      <w:pPr>
        <w:spacing w:after="320"/>
        <w:jc w:val="left"/>
      </w:pPr>
      <w:r>
        <w:rPr>
          <w:rFonts w:ascii="Calibri" w:hAnsi="Calibri"/>
          <w:color w:val="808080"/>
          <w:sz w:val="18"/>
        </w:rPr>
        <w:t>A cura della Redazione Ratio  •  24 luglio 2026</w:t>
      </w:r>
    </w:p>
    <w:p>
      <w:pPr>
        <w:spacing w:after="160" w:line="320" w:lineRule="exact"/>
        <w:jc w:val="both"/>
      </w:pPr>
      <w:r>
        <w:rPr>
          <w:rFonts w:ascii="Calibri" w:hAnsi="Calibri"/>
          <w:sz w:val="22"/>
        </w:rPr>
        <w:t>Il chatbot sul sito di uno studio commercialista risponde ai clienti in tempo reale, suggerisce le aree di specializzazione, raccoglie i dati per la prima valutazione del caso. Per chi ci interagisce, la distinzione tra un assistente umano e uno automatizzato può essere sfumata: il tono è calibrato, le risposte pertinenti, il ritmo simile a quello di un operatore in carne e ossa. Dal 2 agosto 2026 questa ambiguità, che in molti casi è stata lasciata volutamente irrisolta, diventa una violazione delle norme europee.</w:t>
      </w:r>
    </w:p>
    <w:p>
      <w:pPr>
        <w:spacing w:after="160" w:line="320" w:lineRule="exact"/>
        <w:jc w:val="both"/>
      </w:pPr>
      <w:r>
        <w:rPr>
          <w:rFonts w:ascii="Calibri" w:hAnsi="Calibri"/>
          <w:sz w:val="22"/>
        </w:rPr>
        <w:t>Il 20 luglio 2026 la Commissione europea ha pubblicato le linee guida finali sull’articolo 50 del Regolamento UE 2024/1689, il capitolo dell’AI Act che disciplina gli obblighi di trasparenza per i sistemi di intelligenza artificiale conversazionali e per i contenuti sintetici. Il documento chiarisce cosa si intende per interazione avviata con un utente e come deve essere formulata la comunicazione che segnala la natura artificiale del sistema. Quattro giorni dopo la pubblicazione, le imprese italiane si trovano con nove giorni per essere conformi.</w:t>
      </w:r>
    </w:p>
    <w:p>
      <w:pPr>
        <w:spacing w:after="160" w:line="320" w:lineRule="exact"/>
        <w:jc w:val="both"/>
      </w:pPr>
      <w:r>
        <w:rPr>
          <w:rFonts w:ascii="Calibri" w:hAnsi="Calibri"/>
          <w:sz w:val="22"/>
        </w:rPr>
        <w:t>La responsabilità dell’adempimento ricade sul deployer, cioè sull’azienda o il professionista che ha integrato il sistema AI nel proprio servizio, non sul fornitore della tecnologia. Il produttore del chatbot ha obblighi di progettazione (garantire che la disclosure sia tecnicamente possibile), ma chi lo ha attivato sul proprio sito web risponde dell’adempimento in sede ispettiva. Per uno studio legale che usa un assistente conversazionale sulla pagina contatti, o per un commercialista che ha implementato un bot per le prime informazioni fiscali, la questione è di immediata applicabilità.</w:t>
      </w:r>
    </w:p>
    <w:p>
      <w:pPr>
        <w:spacing w:before="280" w:after="120"/>
      </w:pPr>
      <w:r>
        <w:rPr>
          <w:rFonts w:ascii="Calibri" w:hAnsi="Calibri"/>
          <w:b/>
          <w:color w:val="1F497D"/>
          <w:sz w:val="24"/>
        </w:rPr>
        <w:t>Tre sistemi, tre obblighi distinti</w:t>
      </w:r>
    </w:p>
    <w:p>
      <w:pPr>
        <w:spacing w:after="160" w:line="320" w:lineRule="exact"/>
        <w:jc w:val="both"/>
      </w:pPr>
      <w:r>
        <w:rPr>
          <w:rFonts w:ascii="Calibri" w:hAnsi="Calibri"/>
          <w:sz w:val="22"/>
        </w:rPr>
        <w:t>Le linee guida classificano in modo preciso i sistemi soggetti all’obbligo di trasparenza. I chatbot e gli assistenti conversazionali devono comunicare all’utente, prima o all’avvio dell’interazione, di essere sistemi AI, a meno che questa natura non sia già evidente dal contesto. I sistemi che generano contenuti audiovisivi, audio o testuali capaci di somigliare a produzioni umane reali devono applicare una marcatura tecnica che segnali la provenienza artificiale, secondo le specifiche tecniche che gli organismi europei stanno finalizzando. I sistemi biometrici che identificano o categorizzano persone in spazi fisici accessibili al pubblico devono rendere visibile la propria presenza e funzione.</w:t>
      </w:r>
    </w:p>
    <w:p>
      <w:pPr>
        <w:spacing w:before="280" w:after="120"/>
      </w:pPr>
      <w:r>
        <w:rPr>
          <w:rFonts w:ascii="Calibri" w:hAnsi="Calibri"/>
          <w:b/>
          <w:color w:val="1F497D"/>
          <w:sz w:val="24"/>
        </w:rPr>
        <w:t>La disclosure non sta nel footer</w:t>
      </w:r>
    </w:p>
    <w:p>
      <w:pPr>
        <w:spacing w:after="160" w:line="320" w:lineRule="exact"/>
        <w:jc w:val="both"/>
      </w:pPr>
      <w:r>
        <w:rPr>
          <w:rFonts w:ascii="Calibri" w:hAnsi="Calibri"/>
          <w:sz w:val="22"/>
        </w:rPr>
        <w:t>Le linee guida chiariscono un punto che aveva generato interpretazioni divergenti: la disclosure deve avvenire prima che l’utente abbia fornito qualsiasi dato o avviato la conversazione, e deve essere visibile, non sepolta nei termini di servizio o in una nota a piè di pagina. Un avviso nelle FAQ non è sufficiente. Un riferimento nella privacy policy non soddisfa il requisito. La specifica formulazione richiama l’idea che l’utente debba poter scegliere consapevolmente se interagire con un sistema AI prima di avviare l’interazione stessa. È, in fondo, la stessa questione di identità dichiarata che Pirandello aveva messo al centro di tutta la sua produzione: la realtà di una cosa non dipende da ciò che è, ma da come si presenta. Così è, se vi dico chi sono.</w:t>
      </w:r>
    </w:p>
    <w:p>
      <w:pPr>
        <w:spacing w:before="280" w:after="120"/>
      </w:pPr>
      <w:r>
        <w:rPr>
          <w:rFonts w:ascii="Calibri" w:hAnsi="Calibri"/>
          <w:b/>
          <w:color w:val="1F497D"/>
          <w:sz w:val="24"/>
        </w:rPr>
        <w:t>Il nodo pratico: molte aziende non sanno di rientrare nell’obbligo</w:t>
      </w:r>
    </w:p>
    <w:p>
      <w:pPr>
        <w:spacing w:after="160" w:line="320" w:lineRule="exact"/>
        <w:jc w:val="both"/>
      </w:pPr>
      <w:r>
        <w:rPr>
          <w:rFonts w:ascii="Calibri" w:hAnsi="Calibri"/>
          <w:sz w:val="22"/>
        </w:rPr>
        <w:t>Le sanzioni per le violazioni dell’articolo 50 arrivano fino a 15 milioni di euro o al 3% del fatturato mondiale annuo, se superiore. Per una PMI italiana con un fatturato di due milioni di euro, la soglia percentuale equivale a 60.000 euro per un chatbot che non si è presentato. Il paradosso è che l’adempimento tecnico è tra i meno complessi dell’intero AI Act: richiede una configurazione del sistema e un avviso visibile prima dell’apertura della chat, non una certificazione né un’analisi del rischio elaborata. La difficoltà vera è che molte aziende hanno implementato assistenti AI tramite plugin o integrazioni di terze parti senza tracciare esattamente cosa gira sotto, e devono prima verificare quali dei loro strumenti digitali rientrano nella definizione di sistema conversazionale AI soggetto all’articolo 50.</w:t>
      </w:r>
    </w:p>
    <w:p>
      <w:pPr>
        <w:spacing w:after="160" w:line="320" w:lineRule="exact"/>
        <w:jc w:val="both"/>
      </w:pPr>
      <w:r>
        <w:rPr>
          <w:rFonts w:ascii="Calibri" w:hAnsi="Calibri"/>
          <w:sz w:val="22"/>
        </w:rPr>
        <w:t>Nove giorni. Per chi usa un chatbot sul proprio sito o un assistente AI per interagire con clienti e fornitori, la domanda da porsi non è se il sistema funzioni bene. È se sa presentarsi.</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Commissione europea, linee guida finali articolo 50 AI Act, 20 luglio 2026, EUR-Lex</w:t>
      </w:r>
    </w:p>
    <w:p>
      <w:pPr>
        <w:spacing w:after="40"/>
      </w:pPr>
      <w:r>
        <w:rPr>
          <w:rFonts w:ascii="Calibri" w:hAnsi="Calibri"/>
          <w:color w:val="606060"/>
          <w:sz w:val="17"/>
        </w:rPr>
        <w:t>• Regolamento UE 2024/1689 (AI Act), articolo 50 -- EUR-Lex</w:t>
      </w:r>
    </w:p>
    <w:p>
      <w:pPr>
        <w:spacing w:after="40"/>
      </w:pPr>
      <w:r>
        <w:rPr>
          <w:rFonts w:ascii="Calibri" w:hAnsi="Calibri"/>
          <w:color w:val="606060"/>
          <w:sz w:val="17"/>
        </w:rPr>
        <w:t>• AgendaDigitale.eu -- 'Obblighi di trasparenza AI Act: cosa devono fare le aziende dal 2 agosto 2026'</w:t>
      </w:r>
    </w:p>
    <w:p>
      <w:pPr>
        <w:spacing w:after="40"/>
      </w:pPr>
      <w:r>
        <w:rPr>
          <w:rFonts w:ascii="Calibri" w:hAnsi="Calibri"/>
          <w:color w:val="606060"/>
          <w:sz w:val="17"/>
        </w:rPr>
        <w:t>• LaborProject.it -- 'AI Act, dal 2 agosto 2026 l’intelligenza artificiale dovrà presentarsi'</w:t>
      </w:r>
    </w:p>
    <w:p>
      <w:pPr>
        <w:spacing w:after="40"/>
      </w:pPr>
      <w:r>
        <w:rPr>
          <w:rFonts w:ascii="Calibri" w:hAnsi="Calibri"/>
          <w:color w:val="606060"/>
          <w:sz w:val="17"/>
        </w:rPr>
        <w:t>• Cybersecurity360.it -- 'AI Act, dal 2 agosto cambiano gli obblighi di trasparenza dei sistemi di AI'</w:t>
      </w:r>
    </w:p>
    <w:p>
      <w:pPr>
        <w:spacing w:after="40"/>
      </w:pPr>
      <w:r>
        <w:rPr>
          <w:rFonts w:ascii="Calibri" w:hAnsi="Calibri"/>
          <w:color w:val="606060"/>
          <w:sz w:val="17"/>
        </w:rPr>
        <w:t>• Magellanopa.it -- 'AI Act: obblighi di trasparenza dal 2 agosto 2026'</w:t>
      </w:r>
    </w:p>
    <w:p>
      <w:pPr>
        <w:spacing w:after="40"/>
      </w:pPr>
      <w:r>
        <w:rPr>
          <w:rFonts w:ascii="Calibri" w:hAnsi="Calibri"/>
          <w:color w:val="606060"/>
          <w:sz w:val="17"/>
        </w:rPr>
        <w:t>• AI4Business.it -- 'AI Act trasparenza: le regole UE per chatbot e deep fake'</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