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Agosto 2026  |  AI Agentica e Professioni</w:t>
      </w:r>
    </w:p>
    <w:p/>
    <w:p>
      <w:pPr>
        <w:spacing w:after="120"/>
        <w:jc w:val="left"/>
      </w:pPr>
      <w:r>
        <w:rPr>
          <w:rFonts w:ascii="Calibri" w:hAnsi="Calibri"/>
          <w:b/>
          <w:color w:val="1F497D"/>
          <w:sz w:val="48"/>
        </w:rPr>
        <w:t>Dal chatbot all'agente: la differenza che conta.</w:t>
      </w:r>
    </w:p>
    <w:p>
      <w:pPr>
        <w:spacing w:after="200"/>
        <w:jc w:val="left"/>
      </w:pPr>
      <w:r>
        <w:rPr>
          <w:rFonts w:ascii="Calibri" w:hAnsi="Calibri"/>
          <w:i/>
          <w:color w:val="2E74B5"/>
          <w:sz w:val="26"/>
        </w:rPr>
        <w:t>Il mercato AI italiano ha superato 1,8 miliardi nel 2026. La parola che si sente sempre più è 'agente'. Vale la pena capire cosa significa davvero, prima di firmare un contratto o delegare un processo.</w:t>
      </w:r>
    </w:p>
    <w:p>
      <w:pPr>
        <w:spacing w:after="40" w:before="40"/>
        <w:pBdr>
          <w:bottom w:val="single" w:sz="6" w:space="1" w:color="1F497D"/>
        </w:pBdr>
      </w:pPr>
    </w:p>
    <w:p>
      <w:pPr>
        <w:spacing w:after="320"/>
        <w:jc w:val="left"/>
      </w:pPr>
      <w:r>
        <w:rPr>
          <w:rFonts w:ascii="Calibri" w:hAnsi="Calibri"/>
          <w:color w:val="808080"/>
          <w:sz w:val="18"/>
        </w:rPr>
        <w:t>A cura della Redazione Ratio  •  7 agosto 2026</w:t>
      </w:r>
    </w:p>
    <w:p>
      <w:pPr>
        <w:spacing w:after="160" w:line="320" w:lineRule="exact"/>
        <w:jc w:val="both"/>
      </w:pPr>
      <w:r>
        <w:rPr>
          <w:rFonts w:ascii="Calibri" w:hAnsi="Calibri"/>
          <w:sz w:val="22"/>
        </w:rPr>
        <w:t>Nel diritto romano il procurator era la persona che agiva per conto di un'altra, con poteri definiti da un mandato e responsabilità che derivavano dall'ampiezza di quei poteri. La distinzione tra il nunzio, che trasmetteva semplicemente un messaggio, e il procurator, che poteva concludere contratti e obbligare il dominus, era giuridicamente rilevante e praticamente decisiva. Chi confondeva i due ruoli si esponeva a conseguenze che il mandante non aveva autorizzato. Gli agenti AI che stanno entrando nelle aziende e negli studi professionali italiani pongono esattamente la stessa questione, in forma tecnica e normativa insieme.</w:t>
      </w:r>
    </w:p>
    <w:p>
      <w:pPr>
        <w:spacing w:after="160" w:line="320" w:lineRule="exact"/>
        <w:jc w:val="both"/>
      </w:pPr>
      <w:r>
        <w:rPr>
          <w:rFonts w:ascii="Calibri" w:hAnsi="Calibri"/>
          <w:sz w:val="22"/>
        </w:rPr>
        <w:t>Il termine 'agente AI' descrive un sistema in grado di perseguire un obiettivo in autonomia, usando strumenti, prendendo decisioni intermedie e agendo su sistemi esterni senza attendere un'istruzione per ogni passaggio. È una differenza sostanziale rispetto al chatbot, che risponde a una domanda e si ferma. Un agente può navigare su un sito, compilare un modulo, inviare un'email, aggiornare un database, estrarre dati da un documento e inserirli in un gestionale. Lo fa in sequenza, sulla base di un obiettivo iniziale, senza che nessuno approvi ogni singola azione. Il mercato AI italiano ha raggiunto 1,82 miliardi di euro nel 2026, con una crescita del 51% anno su anno, e la quota più dinamica di questa crescita riguarda proprio i sistemi agentici.</w:t>
      </w:r>
    </w:p>
    <w:p>
      <w:pPr>
        <w:spacing w:before="280" w:after="120"/>
      </w:pPr>
      <w:r>
        <w:rPr>
          <w:rFonts w:ascii="Calibri" w:hAnsi="Calibri"/>
          <w:b/>
          <w:color w:val="1F497D"/>
          <w:sz w:val="24"/>
        </w:rPr>
        <w:t>Quanto sono diffusi nelle aziende italiane</w:t>
      </w:r>
    </w:p>
    <w:p>
      <w:pPr>
        <w:spacing w:after="160" w:line="320" w:lineRule="exact"/>
        <w:jc w:val="both"/>
      </w:pPr>
      <w:r>
        <w:rPr>
          <w:rFonts w:ascii="Calibri" w:hAnsi="Calibri"/>
          <w:sz w:val="22"/>
        </w:rPr>
        <w:t>Secondo i dati disponibili a metà 2026, il 22% delle grandi aziende italiane coordina già workflow agentici indipendenti, mentre la quota nelle PMI resta all'8%. Il divario non sorprende: gli agenti richiedono un'infrastruttura dati adeguata, la capacità di definire obiettivi operativi precisi e, soprattutto, qualcuno che sappia progettare il perimetro entro cui l'agente può muoversi. Il problema che emerge dai dati, però, non è solo la bassa adozione nelle PMI: è che il 40% delle aziende che già usa agenti AI non ha definito processi di supervisione umana sui workflow. L'agente agisce. Nessuno controlla cosa ha fatto prima che diventi definitivo.</w:t>
      </w:r>
    </w:p>
    <w:p>
      <w:pPr>
        <w:spacing w:before="280" w:after="120"/>
      </w:pPr>
      <w:r>
        <w:rPr>
          <w:rFonts w:ascii="Calibri" w:hAnsi="Calibri"/>
          <w:b/>
          <w:color w:val="1F497D"/>
          <w:sz w:val="24"/>
        </w:rPr>
        <w:t>Il perimetro del mandato</w:t>
      </w:r>
    </w:p>
    <w:p>
      <w:pPr>
        <w:spacing w:after="160" w:line="320" w:lineRule="exact"/>
        <w:jc w:val="both"/>
      </w:pPr>
      <w:r>
        <w:rPr>
          <w:rFonts w:ascii="Calibri" w:hAnsi="Calibri"/>
          <w:sz w:val="22"/>
        </w:rPr>
        <w:t>Per uno studio professionale o un'azienda che valuta di introdurre un agente AI, la domanda decisiva non è 'cosa sa fare questo agente' ma 'fin dove lo voglio far arrivare'. Un agente che raccoglie informazioni e prepara bozze opera in un perimetro controllabile: l'output è un documento che un professionista legge prima di usarlo. Un agente che invia comunicazioni ai clienti, approva spese, modifica record nel gestionale o interagisce con l'Agenzia delle Entrate per conto dello studio opera con poteri che hanno conseguenze reali e, in alcuni casi, giuridicamente rilevanti. La distinzione non è tecnica: è di governo.</w:t>
      </w:r>
    </w:p>
    <w:p>
      <w:pPr>
        <w:spacing w:before="280" w:after="120"/>
      </w:pPr>
      <w:r>
        <w:rPr>
          <w:rFonts w:ascii="Calibri" w:hAnsi="Calibri"/>
          <w:b/>
          <w:color w:val="1F497D"/>
          <w:sz w:val="24"/>
        </w:rPr>
        <w:t>Cosa dice la norma</w:t>
      </w:r>
    </w:p>
    <w:p>
      <w:pPr>
        <w:spacing w:after="160" w:line="320" w:lineRule="exact"/>
        <w:jc w:val="both"/>
      </w:pPr>
      <w:r>
        <w:rPr>
          <w:rFonts w:ascii="Calibri" w:hAnsi="Calibri"/>
          <w:sz w:val="22"/>
        </w:rPr>
        <w:t>L'AI Act, anche nella versione rivista dal Digital Omnibus, prevede che chi utilizza agenti AI in processi con impatto significativo sulle persone, sui dati o sulle decisioni aziendali debba documentare il perimetro di azione del sistema, mantenere la supervisione umana e tenere un registro delle operazioni. Dal 2 agosto 2026 le autorità di vigilanza hanno gli strumenti per ispezionare queste configurazioni. Il 48% delle aziende italiane che usano agenti AI tiene un registro; la metà non sa con certezza quanti e quali agenti operano per suo conto. Per uno studio professionale che usa questi strumenti per conto dei propri clienti, la responsabilità non si trasferisce all'agente: rimane dove è sempre rimasta.</w:t>
      </w:r>
    </w:p>
    <w:p>
      <w:pPr>
        <w:spacing w:after="160" w:line="320" w:lineRule="exact"/>
        <w:jc w:val="both"/>
      </w:pPr>
      <w:r>
        <w:rPr>
          <w:rFonts w:ascii="Calibri" w:hAnsi="Calibri"/>
          <w:sz w:val="22"/>
        </w:rPr>
        <w:t>Il diritto romano aveva risolto la questione con chiarezza: chi conferisce un mandato risponde delle conseguenze dell'azione del procuratore. Dodicimila anni dopo, il principio regge ancora. Il fatto che il procuratore questa volta sia un software non sposta la firma.</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Impesud.it – 'Agentic AI in Italia 2026: Dalla Teoria all'Azione' (2026)</w:t>
      </w:r>
    </w:p>
    <w:p>
      <w:pPr>
        <w:spacing w:after="40"/>
      </w:pPr>
      <w:r>
        <w:rPr>
          <w:rFonts w:ascii="Calibri" w:hAnsi="Calibri"/>
          <w:color w:val="606060"/>
          <w:sz w:val="17"/>
        </w:rPr>
        <w:t>• AI4Business.it – 'Agenti AI e nuove regolamentazioni: il quadro normativo italiano ed europeo 2026' (2026)</w:t>
      </w:r>
    </w:p>
    <w:p>
      <w:pPr>
        <w:spacing w:after="40"/>
      </w:pPr>
      <w:r>
        <w:rPr>
          <w:rFonts w:ascii="Calibri" w:hAnsi="Calibri"/>
          <w:color w:val="606060"/>
          <w:sz w:val="17"/>
        </w:rPr>
        <w:t>• ICT Security Magazine – 'AI governance aziendale: i rischi degli agenti autonomi' (2026)</w:t>
      </w:r>
    </w:p>
    <w:p>
      <w:pPr>
        <w:spacing w:after="40"/>
      </w:pPr>
      <w:r>
        <w:rPr>
          <w:rFonts w:ascii="Calibri" w:hAnsi="Calibri"/>
          <w:color w:val="606060"/>
          <w:sz w:val="17"/>
        </w:rPr>
        <w:t>• Il Giornale – 'AI agentica: quanto è diffusa nelle aziende italiane?' (2026)</w:t>
      </w:r>
    </w:p>
    <w:p>
      <w:pPr>
        <w:spacing w:after="40"/>
      </w:pPr>
      <w:r>
        <w:rPr>
          <w:rFonts w:ascii="Calibri" w:hAnsi="Calibri"/>
          <w:color w:val="606060"/>
          <w:sz w:val="17"/>
        </w:rPr>
        <w:t>• Regolamento UE 2024/1689 (AI Act), artt. 26-27 obblighi dei deployer</w:t>
      </w:r>
    </w:p>
    <w:p>
      <w:pPr>
        <w:spacing w:after="40"/>
      </w:pPr>
      <w:r>
        <w:rPr>
          <w:rFonts w:ascii="Calibri" w:hAnsi="Calibri"/>
          <w:color w:val="606060"/>
          <w:sz w:val="17"/>
        </w:rPr>
        <w:t>• Regolamento UE 2026/1744 (Digital Omnibus AI), disposizioni su PMI e proporzionalità</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