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Normativa AI</w:t>
      </w:r>
    </w:p>
    <w:p/>
    <w:p>
      <w:pPr>
        <w:spacing w:after="120"/>
        <w:jc w:val="left"/>
      </w:pPr>
      <w:r>
        <w:rPr>
          <w:rFonts w:ascii="Calibri" w:hAnsi="Calibri"/>
          <w:b/>
          <w:color w:val="1F497D"/>
          <w:sz w:val="48"/>
        </w:rPr>
        <w:t>Cinque giorni dopo il 2 agosto: cosa è cambiato.</w:t>
      </w:r>
    </w:p>
    <w:p>
      <w:pPr>
        <w:spacing w:after="200"/>
        <w:jc w:val="left"/>
      </w:pPr>
      <w:r>
        <w:rPr>
          <w:rFonts w:ascii="Calibri" w:hAnsi="Calibri"/>
          <w:i/>
          <w:color w:val="2E74B5"/>
          <w:sz w:val="26"/>
        </w:rPr>
        <w:t>Dal 2 agosto 2026 i chatbot devono dichiarare la propria natura artificiale. I contenuti sintetici vanno marcati. Le sanzioni arrivano al 3% del fatturato. Cinque giorni dopo, il mercato si è accorto di pochissimo.</w:t>
      </w:r>
    </w:p>
    <w:p>
      <w:pPr>
        <w:spacing w:after="40" w:before="40"/>
        <w:pBdr>
          <w:bottom w:val="single" w:sz="6" w:space="1" w:color="1F497D"/>
        </w:pBdr>
      </w:pPr>
    </w:p>
    <w:p>
      <w:pPr>
        <w:spacing w:after="320"/>
        <w:jc w:val="left"/>
      </w:pPr>
      <w:r>
        <w:rPr>
          <w:rFonts w:ascii="Calibri" w:hAnsi="Calibri"/>
          <w:color w:val="808080"/>
          <w:sz w:val="18"/>
        </w:rPr>
        <w:t>A cura della Redazione Ratio  •  7 agosto 2026</w:t>
      </w:r>
    </w:p>
    <w:p>
      <w:pPr>
        <w:spacing w:after="160" w:line="320" w:lineRule="exact"/>
        <w:jc w:val="both"/>
      </w:pPr>
      <w:r>
        <w:rPr>
          <w:rFonts w:ascii="Calibri" w:hAnsi="Calibri"/>
          <w:sz w:val="22"/>
        </w:rPr>
        <w:t>Luigi Pirandello aveva capito qualcosa che le imprese europee stanno riscoprendo con qualche sorpresa: l'identità non è una proprietà dell'individuo, è una costruzione sociale che dipende dallo sguardo altrui. Enrico IV, il personaggio del suo dramma, sceglie di continuare a recitare la follia anche quando potrebbe smettere, perché l'identità che gli hanno attribuito è diventata più comoda della verità. Dal 2 agosto 2026, l'articolo 50 dell'AI Act impone a chatbot e sistemi generativi l'obbligo opposto: dichiarare la propria identità artificiale, anche quando sarebbe più comodo non farlo.</w:t>
      </w:r>
    </w:p>
    <w:p>
      <w:pPr>
        <w:spacing w:after="160" w:line="320" w:lineRule="exact"/>
        <w:jc w:val="both"/>
      </w:pPr>
      <w:r>
        <w:rPr>
          <w:rFonts w:ascii="Calibri" w:hAnsi="Calibri"/>
          <w:sz w:val="22"/>
        </w:rPr>
        <w:t>L'articolo 50 del Regolamento UE 2024/1689 è entrato in applicazione il 2 agosto 2026, in anticipo rispetto ad altri obblighi dell'AI Act rinviati dal Digital Omnibus. I suoi contenuti principali sono tre. Primo: i sistemi AI progettati per interagire con le persone, come chatbot e assistenti vocali, devono informare l'utente fin dal primo contatto che sta parlando con un sistema artificiale, salvo il caso in cui la natura del sistema sia già evidente a un utente ragionevolmente informato. Secondo: i sistemi che generano contenuti sintetici, testi, immagini, audio, video, devono marcarli tecnicamente in modo che siano riconoscibili come generati da AI. Terzo: i fornitori di modelli che generavano contenuti sintetici prima del 2 agosto 2026 hanno tempo fino al 2 dicembre 2026 per adeguarsi ai requisiti di marcatura; per i nuovi sistemi l'obbligo è immediato.</w:t>
      </w:r>
    </w:p>
    <w:p>
      <w:pPr>
        <w:spacing w:before="280" w:after="120"/>
      </w:pPr>
      <w:r>
        <w:rPr>
          <w:rFonts w:ascii="Calibri" w:hAnsi="Calibri"/>
          <w:b/>
          <w:color w:val="1F497D"/>
          <w:sz w:val="24"/>
        </w:rPr>
        <w:t>Chi è coinvolto e con quale responsabilità</w:t>
      </w:r>
    </w:p>
    <w:p>
      <w:pPr>
        <w:spacing w:after="160" w:line="320" w:lineRule="exact"/>
        <w:jc w:val="both"/>
      </w:pPr>
      <w:r>
        <w:rPr>
          <w:rFonts w:ascii="Calibri" w:hAnsi="Calibri"/>
          <w:sz w:val="22"/>
        </w:rPr>
        <w:t>L'articolo 50 si rivolge principalmente ai fornitori dei sistemi AI, cioè a chi sviluppa e immette sul mercato il chatbot o il generatore di contenuti. Ma coinvolge anche i deployer, ossia le aziende e i professionisti che usano questi sistemi per interagire con i propri clienti. Uno studio professionale che ha installato un assistente AI sul proprio sito per rispondere alle domande dei clienti deve verificare che il sistema sia configurato per dichiararsi non umano. Un'impresa che usa strumenti di generazione automatica di comunicazioni commerciali deve assicurarsi che queste portino una marcatura leggibile. Le sanzioni previste per le violazioni dell'articolo 50 arrivano al 3% del fatturato mondiale annuo, con il limite minimo di 15 milioni di euro per le organizzazioni più grandi.</w:t>
      </w:r>
    </w:p>
    <w:p>
      <w:pPr>
        <w:spacing w:before="280" w:after="120"/>
      </w:pPr>
      <w:r>
        <w:rPr>
          <w:rFonts w:ascii="Calibri" w:hAnsi="Calibri"/>
          <w:b/>
          <w:color w:val="1F497D"/>
          <w:sz w:val="24"/>
        </w:rPr>
        <w:t>Cosa verifica concretamente uno studio</w:t>
      </w:r>
    </w:p>
    <w:p>
      <w:pPr>
        <w:spacing w:after="160" w:line="320" w:lineRule="exact"/>
        <w:jc w:val="both"/>
      </w:pPr>
      <w:r>
        <w:rPr>
          <w:rFonts w:ascii="Calibri" w:hAnsi="Calibri"/>
          <w:sz w:val="22"/>
        </w:rPr>
        <w:t>Per la maggior parte degli studi professionali e delle PMI italiane, la verifica di conformità all'articolo 50 è praticabile in tempi brevi e non richiede consulenza specializzata di livello enterprise. Le domande operative sono quattro. Il chatbot sul sito o sulla piattaforma dello studio si identifica come AI nella prima interazione? I contenuti generati automaticamente, da newsletter a risposte ai clienti, recano una dichiarazione di origine? I fornitori degli strumenti utilizzati hanno comunicato come gestiscono la marcatura tecnica dei contenuti sintetici? Esiste un referente interno che ha in carico queste verifiche? Se la risposta a una di queste domande è 'non lo so', è il momento di chiederlo.</w:t>
      </w:r>
    </w:p>
    <w:p>
      <w:pPr>
        <w:spacing w:before="280" w:after="120"/>
      </w:pPr>
      <w:r>
        <w:rPr>
          <w:rFonts w:ascii="Calibri" w:hAnsi="Calibri"/>
          <w:b/>
          <w:color w:val="1F497D"/>
          <w:sz w:val="24"/>
        </w:rPr>
        <w:t>Il nodo del 'già evidente'</w:t>
      </w:r>
    </w:p>
    <w:p>
      <w:pPr>
        <w:spacing w:after="160" w:line="320" w:lineRule="exact"/>
        <w:jc w:val="both"/>
      </w:pPr>
      <w:r>
        <w:rPr>
          <w:rFonts w:ascii="Calibri" w:hAnsi="Calibri"/>
          <w:sz w:val="22"/>
        </w:rPr>
        <w:t>Il testo dell'articolo 50 prevede un'esenzione per i casi in cui la natura artificiale del sistema sia già evidente a un utente ragionevolmente informato. Questa formulazione apre uno spazio interpretativo che sarà riempito dalla prassi e, probabilmente, dalle prime decisioni delle autorità di vigilanza. Cosa è 'ragionevolmente evidente'? Un nome come 'Assistente virtuale' sul sito di una banca è sufficiente? Un avatar con tratti chiaramente non umani esonera dall'obbligo di comunicazione verbale? Le linee guida dell'AGCM e del Garante AI italiano, attese per i prossimi mesi, dovranno chiarire questi margini. Nel dubbio, il comportamento cautelativo è dichiarare: costa meno dell'ambiguità.</w:t>
      </w:r>
    </w:p>
    <w:p>
      <w:pPr>
        <w:spacing w:after="160" w:line="320" w:lineRule="exact"/>
        <w:jc w:val="both"/>
      </w:pPr>
      <w:r>
        <w:rPr>
          <w:rFonts w:ascii="Calibri" w:hAnsi="Calibri"/>
          <w:sz w:val="22"/>
        </w:rPr>
        <w:t>Pirandello conosceva bene il finale: quando l'identità fittizia viene smascherata nel momento sbagliato, le conseguenze sono difficili da gestire. L'articolo 50 non chiede ai sistemi AI di smettere di sembrare intelligenti. Chiede solo di dire chi sono. È una richiesta che, nel 2026, sembra più facile da soddisfare di quanto alcune aziende stiano dimostrando.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Altalex.com – 'AI Act: che cosa cambia davvero dal 2 agosto 2026 per imprese e professionisti' (31 luglio 2026)</w:t>
      </w:r>
    </w:p>
    <w:p>
      <w:pPr>
        <w:spacing w:after="40"/>
      </w:pPr>
      <w:r>
        <w:rPr>
          <w:rFonts w:ascii="Calibri" w:hAnsi="Calibri"/>
          <w:color w:val="606060"/>
          <w:sz w:val="17"/>
        </w:rPr>
        <w:t>• Il Fatto Quotidiano – 'AI Act, dal 2 agosto obblighi di trasparenza per chatbot e deepfake' (2 agosto 2026)</w:t>
      </w:r>
    </w:p>
    <w:p>
      <w:pPr>
        <w:spacing w:after="40"/>
      </w:pPr>
      <w:r>
        <w:rPr>
          <w:rFonts w:ascii="Calibri" w:hAnsi="Calibri"/>
          <w:color w:val="606060"/>
          <w:sz w:val="17"/>
        </w:rPr>
        <w:t>• 42lf.it – 'AI Act, art. 50: gli obblighi di trasparenza sull’intelligenza artificiale diventano operativi dal 2 agosto 2026'</w:t>
      </w:r>
    </w:p>
    <w:p>
      <w:pPr>
        <w:spacing w:after="40"/>
      </w:pPr>
      <w:r>
        <w:rPr>
          <w:rFonts w:ascii="Calibri" w:hAnsi="Calibri"/>
          <w:color w:val="606060"/>
          <w:sz w:val="17"/>
        </w:rPr>
        <w:t>• Fiscal Focus – 'AI Act, obblighi di trasparenza operativi per chatbot e contenuti generati dall’IA'</w:t>
      </w:r>
    </w:p>
    <w:p>
      <w:pPr>
        <w:spacing w:after="40"/>
      </w:pPr>
      <w:r>
        <w:rPr>
          <w:rFonts w:ascii="Calibri" w:hAnsi="Calibri"/>
          <w:color w:val="606060"/>
          <w:sz w:val="17"/>
        </w:rPr>
        <w:t>• CityNext.it – 'AI Act, dal 2 agosto obbligo di etichettare i contenuti creati dall’intelligenza artificiale' (31 luglio 2026)</w:t>
      </w:r>
    </w:p>
    <w:p>
      <w:pPr>
        <w:spacing w:after="40"/>
      </w:pPr>
      <w:r>
        <w:rPr>
          <w:rFonts w:ascii="Calibri" w:hAnsi="Calibri"/>
          <w:color w:val="606060"/>
          <w:sz w:val="17"/>
        </w:rPr>
        <w:t>• Regolamento UE 2024/1689 (AI Act), articolo 50</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