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PMI e Adozione AI</w:t>
      </w:r>
    </w:p>
    <w:p/>
    <w:p>
      <w:pPr>
        <w:spacing w:after="120"/>
        <w:jc w:val="left"/>
      </w:pPr>
      <w:r>
        <w:rPr>
          <w:rFonts w:ascii="Calibri" w:hAnsi="Calibri"/>
          <w:b/>
          <w:color w:val="1F497D"/>
          <w:sz w:val="48"/>
        </w:rPr>
        <w:t>Plus trenta per cento di produttività. PMI italiane: aspetta.</w:t>
      </w:r>
    </w:p>
    <w:p>
      <w:pPr>
        <w:spacing w:after="200"/>
        <w:jc w:val="left"/>
      </w:pPr>
      <w:r>
        <w:rPr>
          <w:rFonts w:ascii="Calibri" w:hAnsi="Calibri"/>
          <w:i/>
          <w:color w:val="2E74B5"/>
          <w:sz w:val="26"/>
        </w:rPr>
        <w:t>Lo SME-AIMIX 2026 documenta guadagni di produttività fino al 30% per le PMI che adottano l'AI. Il 58,6% delle PMI italiane che non la usa cita la mancanza di competenze interne. Il potenziale c'è. Il problema è altrove.</w:t>
      </w:r>
    </w:p>
    <w:p>
      <w:pPr>
        <w:spacing w:after="40" w:before="40"/>
        <w:pBdr>
          <w:bottom w:val="single" w:sz="6" w:space="1" w:color="1F497D"/>
        </w:pBdr>
      </w:pPr>
    </w:p>
    <w:p>
      <w:pPr>
        <w:spacing w:after="320"/>
        <w:jc w:val="left"/>
      </w:pPr>
      <w:r>
        <w:rPr>
          <w:rFonts w:ascii="Calibri" w:hAnsi="Calibri"/>
          <w:color w:val="808080"/>
          <w:sz w:val="18"/>
        </w:rPr>
        <w:t>A cura della Redazione Ratio  •  7 agosto 2026</w:t>
      </w:r>
    </w:p>
    <w:p>
      <w:pPr>
        <w:spacing w:after="160" w:line="320" w:lineRule="exact"/>
        <w:jc w:val="both"/>
      </w:pPr>
      <w:r>
        <w:rPr>
          <w:rFonts w:ascii="Calibri" w:hAnsi="Calibri"/>
          <w:sz w:val="22"/>
        </w:rPr>
        <w:t>Zenone di Elea dimostrò con un argomento geometricamente ineccepibile che Achille non avrebbe mai raggiunto la tartaruga: ogni volta che l'eroe copriva la distanza che lo separava dall'animale, la tartaruga si era già spostata un po' più avanti, all'infinito. Il paradosso è falso, ovviamente, Achille supera la tartaruga, ma funziona come metafora per descrivere la posizione di molte PMI italiane rispetto all'adozione dell'AI: ogni volta che il potenziale viene documentato in modo convincente, le ragioni per non agire si spostano un po' più avanti, e il divario non si chiude.</w:t>
      </w:r>
    </w:p>
    <w:p>
      <w:pPr>
        <w:spacing w:after="160" w:line="320" w:lineRule="exact"/>
        <w:jc w:val="both"/>
      </w:pPr>
      <w:r>
        <w:rPr>
          <w:rFonts w:ascii="Calibri" w:hAnsi="Calibri"/>
          <w:sz w:val="22"/>
        </w:rPr>
        <w:t>Lo SME-AI Maturity Index 2026, il rapporto di Webidoo Insight Lab sulla maturità digitale delle PMI italiane ed europee, quantifica il potenziale di guadagno di produttività per le piccole e medie imprese che adottano soluzioni AI in modo strutturato: fino al 30% di miglioramento sui processi principali. Il dato è coerente con altri studi europei, che su campioni più ampi mostrano che le aziende ad alta esposizione all'AI hanno registrato una crescita media della produttività del 34% tra il 2018 e il 2025, contro il 24% dei settori a bassa esposizione. Il potenziale è documentato, misurabile e reale. Il problema è che le PMI italiane, nel 2026, lo stanno guardando da lontano.</w:t>
      </w:r>
    </w:p>
    <w:p>
      <w:pPr>
        <w:spacing w:before="280" w:after="120"/>
      </w:pPr>
      <w:r>
        <w:rPr>
          <w:rFonts w:ascii="Calibri" w:hAnsi="Calibri"/>
          <w:b/>
          <w:color w:val="1F497D"/>
          <w:sz w:val="24"/>
        </w:rPr>
        <w:t>Le ragioni che le PMI danno</w:t>
      </w:r>
    </w:p>
    <w:p>
      <w:pPr>
        <w:spacing w:after="160" w:line="320" w:lineRule="exact"/>
        <w:jc w:val="both"/>
      </w:pPr>
      <w:r>
        <w:rPr>
          <w:rFonts w:ascii="Calibri" w:hAnsi="Calibri"/>
          <w:sz w:val="22"/>
        </w:rPr>
        <w:t>Tra le PMI italiane che non usano AI e non prevedono di farlo nel breve, il 58,6% cita la mancanza di competenze interne, il 47,3% l'incertezza normativa e il 45,2% le difficoltà legate alla qualità e alla gestione dei dati. Il 76% non ha investito in AI e non prevede di farlo. Lo score di maturità AI delle PMI italiane nello SME-AIMIX è 8,5%, sotto la media europea. Questi numeri vanno letti con attenzione: la mancanza di competenze interne non significa che l'AI sia inaccessibile alle PMI, significa che le PMI non hanno al loro interno qualcuno in grado di valutarne l'applicazione e gestirne l'introduzione. È un problema di intermediazione professionale prima che di tecnologia.</w:t>
      </w:r>
    </w:p>
    <w:p>
      <w:pPr>
        <w:spacing w:before="280" w:after="120"/>
      </w:pPr>
      <w:r>
        <w:rPr>
          <w:rFonts w:ascii="Calibri" w:hAnsi="Calibri"/>
          <w:b/>
          <w:color w:val="1F497D"/>
          <w:sz w:val="24"/>
        </w:rPr>
        <w:t>Dove l'AI si è già inserita</w:t>
      </w:r>
    </w:p>
    <w:p>
      <w:pPr>
        <w:spacing w:after="160" w:line="320" w:lineRule="exact"/>
        <w:jc w:val="both"/>
      </w:pPr>
      <w:r>
        <w:rPr>
          <w:rFonts w:ascii="Calibri" w:hAnsi="Calibri"/>
          <w:sz w:val="22"/>
        </w:rPr>
        <w:t>I dati sui settori di applicazione nelle PMI che hanno adottato l'AI descrivono una concentrazione prevedibile: il 33,1% dei casi riguarda marketing e vendite, il 25,7% l'amministrazione, il 20% la ricerca e sviluppo. La contabilità, la gestione dei flussi di cassa, la preparazione di dichiarazioni e la revisione di documenti sono aree dove l'AI porta guadagni di tempo misurabili già con strumenti di livello consumer, senza infrastrutture complesse. Sono anche le aree dove il commercialista, il consulente del lavoro e il revisore hanno accesso diretto ai processi del cliente e potrebbero essere la figura che introduce lo strumento, lo configura e forma il personale. Il 30% di produttività in più non arriva dall'abbonamento: arriva da chi sa dove applicarlo.</w:t>
      </w:r>
    </w:p>
    <w:p>
      <w:pPr>
        <w:spacing w:before="280" w:after="120"/>
      </w:pPr>
      <w:r>
        <w:rPr>
          <w:rFonts w:ascii="Calibri" w:hAnsi="Calibri"/>
          <w:b/>
          <w:color w:val="1F497D"/>
          <w:sz w:val="24"/>
        </w:rPr>
        <w:t>Il fattore che separa chi avanza da chi aspetta</w:t>
      </w:r>
    </w:p>
    <w:p>
      <w:pPr>
        <w:spacing w:after="160" w:line="320" w:lineRule="exact"/>
        <w:jc w:val="both"/>
      </w:pPr>
      <w:r>
        <w:rPr>
          <w:rFonts w:ascii="Calibri" w:hAnsi="Calibri"/>
          <w:sz w:val="22"/>
        </w:rPr>
        <w:t>Lo SME-AIMIX 2026 identifica una correlazione chiara tra la presenza di un referente dedicato all'AI, interno o esterno all'azienda, e l'effettiva integrazione degli strumenti nei processi. Le PMI che hanno avviato percorsi strutturati di adozione quasi sempre hanno in comune una figura che ha tradotto il potenziale generico in un caso d'uso specifico: questo processo, con questo strumento, in questo modo. Le PMI che si fermano alla fase di sperimentazione con ChatGPT per redigere email hanno quasi sempre in comune l'assenza di quella figura. Il potenziale del 30% di produttività in più è condizionale: richiede qualcuno che sappia attivarlo.</w:t>
      </w:r>
    </w:p>
    <w:p>
      <w:pPr>
        <w:spacing w:after="160" w:line="320" w:lineRule="exact"/>
        <w:jc w:val="both"/>
      </w:pPr>
      <w:r>
        <w:rPr>
          <w:rFonts w:ascii="Calibri" w:hAnsi="Calibri"/>
          <w:sz w:val="22"/>
        </w:rPr>
        <w:t>Achille raggiunge la tartaruga perché smette di dividere lo spazio in frazioni infinite e comincia a correre. Le PMI italiane hanno ancora il paradosso in testa.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MediaKey.it – 'SME-AIMIX 2026: fino al +30% di produttività con l’AI, ma le PMI italiane non sono ancora pronte' (2026)</w:t>
      </w:r>
    </w:p>
    <w:p>
      <w:pPr>
        <w:spacing w:after="40"/>
      </w:pPr>
      <w:r>
        <w:rPr>
          <w:rFonts w:ascii="Calibri" w:hAnsi="Calibri"/>
          <w:color w:val="606060"/>
          <w:sz w:val="17"/>
        </w:rPr>
        <w:t>• AdnKronos – 'AI: nelle PMI italiane il potenziale c’è ma la maturità resta bassa' (30 giugno 2026)</w:t>
      </w:r>
    </w:p>
    <w:p>
      <w:pPr>
        <w:spacing w:after="40"/>
      </w:pPr>
      <w:r>
        <w:rPr>
          <w:rFonts w:ascii="Calibri" w:hAnsi="Calibri"/>
          <w:color w:val="606060"/>
          <w:sz w:val="17"/>
        </w:rPr>
        <w:t>• AgendaDigitale.eu – 'AI nelle PMI italiane: competenze e dati frenano la svolta digitale' (2026)</w:t>
      </w:r>
    </w:p>
    <w:p>
      <w:pPr>
        <w:spacing w:after="40"/>
      </w:pPr>
      <w:r>
        <w:rPr>
          <w:rFonts w:ascii="Calibri" w:hAnsi="Calibri"/>
          <w:color w:val="606060"/>
          <w:sz w:val="17"/>
        </w:rPr>
        <w:t>• ESTE.it – 'AI Act, le PMI italiane arrivano impreparate alla svolta' (2026)</w:t>
      </w:r>
    </w:p>
    <w:p>
      <w:pPr>
        <w:spacing w:after="40"/>
      </w:pPr>
      <w:r>
        <w:rPr>
          <w:rFonts w:ascii="Calibri" w:hAnsi="Calibri"/>
          <w:color w:val="606060"/>
          <w:sz w:val="17"/>
        </w:rPr>
        <w:t>• Istat – Rapporto sull’uso delle tecnologie ICT e AI nelle imprese italiane, 2025-2026</w:t>
      </w:r>
    </w:p>
    <w:p>
      <w:pPr>
        <w:spacing w:after="40"/>
      </w:pPr>
      <w:r>
        <w:rPr>
          <w:rFonts w:ascii="Calibri" w:hAnsi="Calibri"/>
          <w:color w:val="606060"/>
          <w:sz w:val="17"/>
        </w:rPr>
        <w:t>• Corriere Nazionale – 'La Nuova Era dell’Efficienza: Come l’AI Agentica sta Trasformando il Lavoro e l’Impresa in Italia nel 2026' (16 aprile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