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Normativa e Compliance</w:t>
      </w:r>
    </w:p>
    <w:p/>
    <w:p>
      <w:pPr>
        <w:spacing w:after="120"/>
        <w:jc w:val="left"/>
      </w:pPr>
      <w:r>
        <w:rPr>
          <w:rFonts w:ascii="Calibri" w:hAnsi="Calibri"/>
          <w:b/>
          <w:color w:val="1F497D"/>
          <w:sz w:val="44"/>
        </w:rPr>
        <w:t>2 agosto 2026: le scadenze dell’AI Act che nessuna impresa italiana può ignorare</w:t>
      </w:r>
    </w:p>
    <w:p>
      <w:pPr>
        <w:spacing w:after="200"/>
        <w:jc w:val="left"/>
      </w:pPr>
      <w:r>
        <w:rPr>
          <w:rFonts w:ascii="Calibri" w:hAnsi="Calibri"/>
          <w:i/>
          <w:color w:val="2E74B5"/>
          <w:sz w:val="26"/>
        </w:rPr>
        <w:t>Mancano meno di quattro mesi alla data più critica del Regolamento europeo sull’intelligenza artificiale. Ecco cosa devono fare le imprese e i professionisti per arrivare pronti, e cosa rischiano se non lo fanno.</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Il Regolamento UE 2024/1689, meglio noto come AI Act, è entrato in vigore il 1° agosto 2024. Da allora, la sua applicazione è stata graduale, con scadenze scaglionate nel tempo per permettere alle imprese di adeguarsi. La data del 2 agosto 2026 rappresenta il momento più significativo di questo calendario: da quel giorno entrano in vigore gli obblighi per i sistemi AI classificati ad alto rischio, le norme sulla trasparenza e tutta la governance documentale prevista dal Regolamento. Per chi non si è ancora mosso, il tempo a disposizione si misura in settimane, non in mesi.</w:t>
      </w:r>
    </w:p>
    <w:p>
      <w:pPr>
        <w:spacing w:after="160" w:before="0" w:line="320" w:lineRule="exact"/>
        <w:jc w:val="both"/>
      </w:pPr>
      <w:r>
        <w:rPr>
          <w:rFonts w:ascii="Calibri" w:hAnsi="Calibri"/>
          <w:i w:val="0"/>
          <w:sz w:val="22"/>
        </w:rPr>
        <w:t>La logica dell’AI Act si basa su una classificazione del rischio. In cima alla piramide ci sono i sistemi vietati in assoluto: riconoscimento biometrico di massa, sistemi di scoring sociale, manipolazione comportamentale subliminale. Subito sotto si trovano i sistemi ad alto rischio, che non sono vietati ma devono soddisfare requisiti precisi: trasparenza delle decisioni, documentazione tecnica, registro delle attività, supervisione umana, test di conformità. È questa categoria che è al centro delle scadenze di agosto 2026.</w:t>
      </w:r>
    </w:p>
    <w:p>
      <w:pPr>
        <w:spacing w:before="280" w:after="120"/>
      </w:pPr>
      <w:r>
        <w:rPr>
          <w:rFonts w:ascii="Calibri" w:hAnsi="Calibri"/>
          <w:b/>
          <w:color w:val="1F497D"/>
          <w:sz w:val="26"/>
        </w:rPr>
        <w:t>Quali sistemi rientrano nell’alto rischio</w:t>
      </w:r>
    </w:p>
    <w:p>
      <w:pPr>
        <w:spacing w:after="160" w:before="0" w:line="320" w:lineRule="exact"/>
        <w:jc w:val="both"/>
      </w:pPr>
      <w:r>
        <w:rPr>
          <w:rFonts w:ascii="Calibri" w:hAnsi="Calibri"/>
          <w:i w:val="0"/>
          <w:sz w:val="22"/>
        </w:rPr>
        <w:t>L’allegato III del Regolamento elenca le categorie di sistemi AI classificati ad alto rischio. Tra questi: sistemi usati per la selezione del personale e la valutazione dei lavoratori, sistemi che determinano l’accesso a servizi essenziali come il credito bancario o le assicurazioni, software utilizzati in ambito sanitario per diagnosi o trattamento, strumenti impiegati nell’istruzione per valutare studenti, sistemi di profilazione dei clienti usati nel marketing personalizzato con impatto su decisioni economiche rilevanti.</w:t>
      </w:r>
    </w:p>
    <w:p>
      <w:pPr>
        <w:spacing w:after="160" w:before="0" w:line="320" w:lineRule="exact"/>
        <w:jc w:val="both"/>
      </w:pPr>
      <w:r>
        <w:rPr>
          <w:rFonts w:ascii="Calibri" w:hAnsi="Calibri"/>
          <w:i w:val="0"/>
          <w:sz w:val="22"/>
        </w:rPr>
        <w:t>Molte aziende italiane utilizzano già sistemi che rientrano in queste categorie senza esserne consapevoli. Un software HR che filtra i curricula con algoritmi di ranking, un sistema di scoring del credito integrato in un gestionale, una piattaforma di analisi predittiva usata per decidere i prezzi assicurativi: tutti questi strumenti possono ricadere nella definizione di sistema AI ad alto rischio, con i conseguenti obblighi di conformità.</w:t>
      </w:r>
    </w:p>
    <w:p>
      <w:pPr>
        <w:spacing w:before="280" w:after="120"/>
      </w:pPr>
      <w:r>
        <w:rPr>
          <w:rFonts w:ascii="Calibri" w:hAnsi="Calibri"/>
          <w:b/>
          <w:color w:val="1F497D"/>
          <w:sz w:val="26"/>
        </w:rPr>
        <w:t>Gli obblighi concreti da rispettare</w:t>
      </w:r>
    </w:p>
    <w:p>
      <w:pPr>
        <w:spacing w:after="160" w:before="0" w:line="320" w:lineRule="exact"/>
        <w:jc w:val="both"/>
      </w:pPr>
      <w:r>
        <w:rPr>
          <w:rFonts w:ascii="Calibri" w:hAnsi="Calibri"/>
          <w:i w:val="0"/>
          <w:sz w:val="22"/>
        </w:rPr>
        <w:t>Per i sistemi ad alto rischio, il Regolamento prevede sei famiglie di obblighi. La prima riguarda la documentazione tecnica: ogni sistema deve avere una scheda che descrive come funziona, su quali dati è stato addestrato e quali limitazioni presenta. La seconda riguarda il registro delle attività: il sistema deve tenere traccia delle operazioni compiute, in modo che sia possibile ricostruire come è arrivato a una decisione. La terza riguarda la trasparenza verso gli utenti: chi interagisce con un sistema AI deve sapere di farlo.</w:t>
      </w:r>
    </w:p>
    <w:p>
      <w:pPr>
        <w:spacing w:after="160" w:before="0" w:line="320" w:lineRule="exact"/>
        <w:jc w:val="both"/>
      </w:pPr>
      <w:r>
        <w:rPr>
          <w:rFonts w:ascii="Calibri" w:hAnsi="Calibri"/>
          <w:i w:val="0"/>
          <w:sz w:val="22"/>
        </w:rPr>
        <w:t>La quarta famiglia di obblighi riguarda la supervisione umana: deve esistere un meccanismo che permetta a una persona di intervenire, modificare o bloccare le decisioni del sistema. La quinta riguarda la precisione e la robustezza: il sistema deve essere testato per garantire che funzioni come dichiarato, anche in condizioni anomale. La sesta, infine, riguarda la sicurezza informatica: il sistema deve essere protetto da attacchi che potrebbero alterarne il comportamento.</w:t>
      </w:r>
    </w:p>
    <w:p>
      <w:pPr>
        <w:spacing w:before="280" w:after="120"/>
      </w:pPr>
      <w:r>
        <w:rPr>
          <w:rFonts w:ascii="Calibri" w:hAnsi="Calibri"/>
          <w:b/>
          <w:color w:val="1F497D"/>
          <w:sz w:val="26"/>
        </w:rPr>
        <w:t>Il trattamento di favore per le PMI e le sanzioni</w:t>
      </w:r>
    </w:p>
    <w:p>
      <w:pPr>
        <w:spacing w:after="160" w:before="0" w:line="320" w:lineRule="exact"/>
        <w:jc w:val="both"/>
      </w:pPr>
      <w:r>
        <w:rPr>
          <w:rFonts w:ascii="Calibri" w:hAnsi="Calibri"/>
          <w:i w:val="0"/>
          <w:sz w:val="22"/>
        </w:rPr>
        <w:t>L’AI Act prevede un regime differenziato per le piccole e medie imprese. Le sanzioni si applicano nella misura più bassa tra la percentuale del fatturato globale e una cifra assoluta, il che riduce l’esposizione delle PMI rispetto alle grandi corporation. Le imprese più piccole hanno anche accesso prioritario alle cosiddette regulatory sandbox, ambienti controllati in cui possono testare sistemi AI con supervisione delle autorità senza incorrere subito nelle sanzioni ordinarie. Ma il trattamento di favore non significa esenzione: gli obblighi sostanziali si applicano a tutte le imprese, indipendentemente dalle dimensioni.</w:t>
      </w:r>
    </w:p>
    <w:p>
      <w:pPr>
        <w:spacing w:after="160" w:before="0" w:line="320" w:lineRule="exact"/>
        <w:jc w:val="both"/>
      </w:pPr>
      <w:r>
        <w:rPr>
          <w:rFonts w:ascii="Calibri" w:hAnsi="Calibri"/>
          <w:i w:val="0"/>
          <w:sz w:val="22"/>
        </w:rPr>
        <w:t>Le sanzioni per chi viola i divieti assoluti arrivano fino a 35 milioni di euro o al 7% del fatturato globale annuo. Per le violazioni degli obblighi sui sistemi ad alto rischio, il massimo è 15 milioni di euro o il 3% del fatturato. Per le informazioni false fornite alle autorità, fino a 7,5 milioni o 1,5% del fatturato. Numeri che rendono chiaro perché aspettare agosto per iniziare ad adeguarsi sia un rischio che poche imprese possono permettersi di correre.</w:t>
      </w:r>
    </w:p>
    <w:p>
      <w:pPr>
        <w:spacing w:before="280" w:after="120"/>
      </w:pPr>
      <w:r>
        <w:rPr>
          <w:rFonts w:ascii="Calibri" w:hAnsi="Calibri"/>
          <w:b/>
          <w:color w:val="1F497D"/>
          <w:sz w:val="26"/>
        </w:rPr>
        <w:t>Il doppio livello: AI Act europeo e Legge 132 italiana</w:t>
      </w:r>
    </w:p>
    <w:p>
      <w:pPr>
        <w:spacing w:after="160" w:before="0" w:line="320" w:lineRule="exact"/>
        <w:jc w:val="both"/>
      </w:pPr>
      <w:r>
        <w:rPr>
          <w:rFonts w:ascii="Calibri" w:hAnsi="Calibri"/>
          <w:i w:val="0"/>
          <w:sz w:val="22"/>
        </w:rPr>
        <w:t>Le imprese italiane devono navigare un doppio livello di compliance. Oltre all’AI Act europeo, è in vigore dal 10 ottobre 2025 la Legge nazionale 132/2025, che integra il Regolamento europeo con disposizioni specifiche per il contesto italiano. La vigilanza è affidata all’Agenzia per l’Italia Digitale (AgID) per le notifiche e gli accreditamenti, e all’Agenzia per la Cybersicurezza Nazionale (ACN) per i controlli. In settori regolamentati come finanza e assicurazioni, sono coinvolti anche CONSOB e IVASS. Il Garante Privacy interviene nei casi che riguardano dati sensibili.</w:t>
      </w:r>
    </w:p>
    <w:p>
      <w:pPr>
        <w:spacing w:after="160" w:before="0" w:line="320" w:lineRule="exact"/>
        <w:jc w:val="both"/>
      </w:pPr>
      <w:r>
        <w:rPr>
          <w:rFonts w:ascii="Calibri" w:hAnsi="Calibri"/>
          <w:i w:val="0"/>
          <w:sz w:val="22"/>
        </w:rPr>
        <w:t>La raccomandazione operativa per le imprese italiane è quella di iniziare con una mappatura dei sistemi AI in uso, classificarli per livello di rischio e identificare quelli che richiedono interventi prima di agosto. Per i sistemi ad alto rischio già in produzione, è necessario avviare subito la documentazione tecnica e verificare che i requisiti di supervisione umana siano soddisfatti. Per chi non ha ancora avviato questo processo, i quattro mesi che separano dall’agosto 2026 sono sufficienti, ma solo se si inizia adesso.</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Regolamento UE 2024/1689 (AI Act) — Gazzetta Ufficiale dell’Unione Europea, 12 luglio 2024</w:t>
      </w:r>
    </w:p>
    <w:p>
      <w:pPr>
        <w:spacing w:after="40"/>
      </w:pPr>
      <w:r>
        <w:rPr>
          <w:rFonts w:ascii="Calibri" w:hAnsi="Calibri"/>
          <w:color w:val="606060"/>
          <w:sz w:val="17"/>
        </w:rPr>
        <w:t>• Paradigma — AI Act 2026: obblighi per le imprese e integrazione con GDPR (14 aprile 2026)</w:t>
      </w:r>
    </w:p>
    <w:p>
      <w:pPr>
        <w:spacing w:after="40"/>
      </w:pPr>
      <w:r>
        <w:rPr>
          <w:rFonts w:ascii="Calibri" w:hAnsi="Calibri"/>
          <w:color w:val="606060"/>
          <w:sz w:val="17"/>
        </w:rPr>
        <w:t>• Brain Computing — AI Act 2026: obblighi e conformità per le aziende italiane</w:t>
      </w:r>
    </w:p>
    <w:p>
      <w:pPr>
        <w:spacing w:after="40"/>
      </w:pPr>
      <w:r>
        <w:rPr>
          <w:rFonts w:ascii="Calibri" w:hAnsi="Calibri"/>
          <w:color w:val="606060"/>
          <w:sz w:val="17"/>
        </w:rPr>
        <w:t>• Sopra Steria — L’AI Act è realtà: come cambia il panorama per le aziende italiane</w:t>
      </w:r>
    </w:p>
    <w:p>
      <w:pPr>
        <w:spacing w:after="40"/>
      </w:pPr>
      <w:r>
        <w:rPr>
          <w:rFonts w:ascii="Calibri" w:hAnsi="Calibri"/>
          <w:color w:val="606060"/>
          <w:sz w:val="17"/>
        </w:rPr>
        <w:t>• EuAIAct.pro — Obblighi EU AI Act 2026 — Deployer, Provider e Livelli di Rischio</w:t>
      </w:r>
    </w:p>
    <w:p>
      <w:pPr>
        <w:spacing w:after="40"/>
      </w:pPr>
      <w:r>
        <w:rPr>
          <w:rFonts w:ascii="Calibri" w:hAnsi="Calibri"/>
          <w:color w:val="606060"/>
          <w:sz w:val="17"/>
        </w:rPr>
        <w:t>• Tom’s Hardware Business — Agenti AI e nuove regolamentazioni: il quadro normativo italiano ed europeo 2026 per le imprese</w:t>
      </w:r>
    </w:p>
    <w:p>
      <w:pPr>
        <w:spacing w:after="40"/>
      </w:pPr>
      <w:r>
        <w:rPr>
          <w:rFonts w:ascii="Calibri" w:hAnsi="Calibri"/>
          <w:color w:val="606060"/>
          <w:sz w:val="17"/>
        </w:rPr>
        <w:t>• Legge 132/2025 — Disposizioni in materia di intelligenza artificiale, pubblicata in GU del 9 ottobre 2025</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