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Innovazione e Strategia</w:t>
      </w:r>
    </w:p>
    <w:p/>
    <w:p>
      <w:pPr>
        <w:spacing w:after="120"/>
        <w:jc w:val="left"/>
      </w:pPr>
      <w:r>
        <w:rPr>
          <w:rFonts w:ascii="Calibri" w:hAnsi="Calibri"/>
          <w:b/>
          <w:color w:val="1F497D"/>
          <w:sz w:val="44"/>
        </w:rPr>
        <w:t>AI Agentica: quando il software agisce senza che tu lo chieda</w:t>
      </w:r>
    </w:p>
    <w:p>
      <w:pPr>
        <w:spacing w:after="200"/>
        <w:jc w:val="left"/>
      </w:pPr>
      <w:r>
        <w:rPr>
          <w:rFonts w:ascii="Calibri" w:hAnsi="Calibri"/>
          <w:i/>
          <w:color w:val="2E74B5"/>
          <w:sz w:val="26"/>
        </w:rPr>
        <w:t>Nel 2026 la frontiera non è più l’AI che risponde alle domande: è l’AI che pianifica, decide e agisce. Le aziende italiane iniziano a fare i conti con un cambiamento molto più profondo del previsto.</w:t>
      </w:r>
    </w:p>
    <w:p>
      <w:pPr>
        <w:spacing w:after="40" w:before="40"/>
        <w:pBdr>
          <w:bottom w:val="single" w:sz="6" w:space="1" w:color="1F497D"/>
        </w:pBdr>
      </w:pPr>
    </w:p>
    <w:p>
      <w:pPr>
        <w:spacing w:after="320"/>
        <w:jc w:val="left"/>
      </w:pPr>
      <w:r>
        <w:rPr>
          <w:rFonts w:ascii="Calibri" w:hAnsi="Calibri"/>
          <w:color w:val="808080"/>
          <w:sz w:val="18"/>
        </w:rPr>
        <w:t>A cura della Redazione Ratio  •  17 aprile 2026</w:t>
      </w:r>
    </w:p>
    <w:p>
      <w:pPr>
        <w:spacing w:after="160" w:before="0" w:line="320" w:lineRule="exact"/>
        <w:jc w:val="both"/>
      </w:pPr>
      <w:r>
        <w:rPr>
          <w:rFonts w:ascii="Calibri" w:hAnsi="Calibri"/>
          <w:i w:val="0"/>
          <w:sz w:val="22"/>
        </w:rPr>
        <w:t>Per anni l’intelligenza artificiale nelle aziende ha significato una cosa sola: un sistema che risponde. Fai una domanda, ottieni una risposta. Carichi un documento, ricevi un riassunto. L’AI generativa, quella dei modelli linguistici grandi che hanno dominato il dibattito dal 2022 in poi, funzionava fondamentalmente così: riceveva un input e restituiva un output. Utile, certamente. Ma ancora lontana dall’agire autonomo. Nel 2026 questo modello sta cambiando, e la transizione in corso ha un nome preciso: AI agentica.</w:t>
      </w:r>
    </w:p>
    <w:p>
      <w:pPr>
        <w:spacing w:after="160" w:before="0" w:line="320" w:lineRule="exact"/>
        <w:jc w:val="both"/>
      </w:pPr>
      <w:r>
        <w:rPr>
          <w:rFonts w:ascii="Calibri" w:hAnsi="Calibri"/>
          <w:i w:val="0"/>
          <w:sz w:val="22"/>
        </w:rPr>
        <w:t>Un agente AI non si limita a rispondere. Riceve un obiettivo, lo scompone in sotto-task, decide quali strumenti usare, esegue azioni nel mondo digitale, verifica i risultati e itera. Può inviare email, accedere a database, compilare moduli, aggiornare sistemi gestionali, attivare processi su altri software. Non ha bisogno che un utente approvi ogni singolo passaggio: può lavorare in autonomia per ore, scalando un obiettivo che prima avrebbe richiesto il lavoro coordinato di più persone.</w:t>
      </w:r>
    </w:p>
    <w:p>
      <w:pPr>
        <w:spacing w:after="160" w:before="0" w:line="320" w:lineRule="exact"/>
        <w:jc w:val="both"/>
      </w:pPr>
      <w:r>
        <w:rPr>
          <w:rFonts w:ascii="Calibri" w:hAnsi="Calibri"/>
          <w:i w:val="0"/>
          <w:sz w:val="22"/>
        </w:rPr>
        <w:t>Il termine “agente” non è nuovo nell’informatica, ma la sua applicazione pratica ai modelli linguistici è diventata concreta solo negli ultimi diciotto mesi. Piattaforme come Claude di Anthropic, GPT-4o di OpenAI e Gemini di Google hanno introdotto funzioni di orchestrazione che permettono ai modelli di usare strumenti esterni, mantenere memoria tra sessioni e collaborare tra loro. Il risultato è una categoria di software che si comporta, almeno parzialmente, come un collaboratore digitale che sa cosa fare senza aspettare istruzioni passo dopo passo.</w:t>
      </w:r>
    </w:p>
    <w:p>
      <w:pPr>
        <w:spacing w:before="280" w:after="120"/>
      </w:pPr>
      <w:r>
        <w:rPr>
          <w:rFonts w:ascii="Calibri" w:hAnsi="Calibri"/>
          <w:b/>
          <w:color w:val="1F497D"/>
          <w:sz w:val="26"/>
        </w:rPr>
        <w:t>Cosa sta succedendo nelle aziende italiane</w:t>
      </w:r>
    </w:p>
    <w:p>
      <w:pPr>
        <w:spacing w:after="160" w:before="0" w:line="320" w:lineRule="exact"/>
        <w:jc w:val="both"/>
      </w:pPr>
      <w:r>
        <w:rPr>
          <w:rFonts w:ascii="Calibri" w:hAnsi="Calibri"/>
          <w:i w:val="0"/>
          <w:sz w:val="22"/>
        </w:rPr>
        <w:t>Secondo i dati Istat elaborati nel primo trimestre 2026, il 16,4% delle aziende italiane con più di dieci dipendenti ha adottato soluzioni di AI nel 2025, un dato raddoppiato rispetto all’8,2% dell’anno precedente. La crescita è reale, ma nasconde una distinzione importante: la maggioranza delle implementazioni riguarda ancora AI assistiva, cioè strumenti che supportano l’operatore senza sostituirne le decisioni. L’AI agentica è presente in una quota molto più ridotta, stimata intorno al 7-8% delle PMI, concentrata soprattutto nelle funzioni di customer service, gestione ordini e monitoraggio finanziario.</w:t>
      </w:r>
    </w:p>
    <w:p>
      <w:pPr>
        <w:spacing w:after="160" w:before="0" w:line="320" w:lineRule="exact"/>
        <w:jc w:val="both"/>
      </w:pPr>
      <w:r>
        <w:rPr>
          <w:rFonts w:ascii="Calibri" w:hAnsi="Calibri"/>
          <w:i w:val="0"/>
          <w:sz w:val="22"/>
        </w:rPr>
        <w:t>I settori che mostrano l’adozione più rapida sono quelli con processi ad alto volume e bassa variabilità: logistica, e-commerce, gestione documentale, fatturazione attiva. Un agente che verifica le fatture in entrata, le riconcilia con i movimenti bancari e segnala le anomalie può comprimere a pochi minuti un lavoro che normalmente impegna un operatore per ore. In ambito customer service, i dati di settore indicano che gli agenti AI sono in grado di risolvere autonomamente tra il 60% e l’85% delle richieste in ingresso, scalando all’operatore umano solo i casi che richiedono giudizio contestuale o empatia relazionale.</w:t>
      </w:r>
    </w:p>
    <w:p>
      <w:pPr>
        <w:spacing w:before="280" w:after="120"/>
      </w:pPr>
      <w:r>
        <w:rPr>
          <w:rFonts w:ascii="Calibri" w:hAnsi="Calibri"/>
          <w:b/>
          <w:color w:val="1F497D"/>
          <w:sz w:val="26"/>
        </w:rPr>
        <w:t>Il nodo della supervisione umana</w:t>
      </w:r>
    </w:p>
    <w:p>
      <w:pPr>
        <w:spacing w:after="160" w:before="0" w:line="320" w:lineRule="exact"/>
        <w:jc w:val="both"/>
      </w:pPr>
      <w:r>
        <w:rPr>
          <w:rFonts w:ascii="Calibri" w:hAnsi="Calibri"/>
          <w:i w:val="0"/>
          <w:sz w:val="22"/>
        </w:rPr>
        <w:t>L’autonomia degli agenti AI apre una questione che le aziende non possono ignorare: chi è responsabile di ciò che l’agente fa? Se un sistema automatico invia una comunicazione errata a un cliente, approva un pagamento non autorizzato o cancella un record nel gestionale, la responsabilità ricade comunque sull’azienda che ha attivato il sistema. L’AI Act europeo, con le scadenze operative che si avvicinano ad agosto 2026, richiede esplicitamente che i sistemi AI ad alto rischio mantengano un livello di supervisione umana documentato e verificabile. Per gli agenti AI che operano in aree sensibili, come il credito, la salute o la gestione del personale, questo requisito diventa stringente.</w:t>
      </w:r>
    </w:p>
    <w:p>
      <w:pPr>
        <w:spacing w:after="160" w:before="0" w:line="320" w:lineRule="exact"/>
        <w:jc w:val="both"/>
      </w:pPr>
      <w:r>
        <w:rPr>
          <w:rFonts w:ascii="Calibri" w:hAnsi="Calibri"/>
          <w:i w:val="0"/>
          <w:sz w:val="22"/>
        </w:rPr>
        <w:t>La risposta operativa che molte aziende stanno adottando è il modello “human-in-the-loop”: l’agente lavora in autonomia su task a basso rischio, ma richiede approvazione esplicita per azioni con impatto elevato. Un sistema di questo tipo può gestire decine di operazioni al giorno senza intervento umano, chiedendo conferma solo nei casi in cui il valore in gioco o la complessità superano una soglia predefinita. È un equilibrio che richiede progettazione attenta, ma che rende l’automazione sostenibile anche in contesti regolamentati.</w:t>
      </w:r>
    </w:p>
    <w:p>
      <w:pPr>
        <w:spacing w:before="280" w:after="120"/>
      </w:pPr>
      <w:r>
        <w:rPr>
          <w:rFonts w:ascii="Calibri" w:hAnsi="Calibri"/>
          <w:b/>
          <w:color w:val="1F497D"/>
          <w:sz w:val="26"/>
        </w:rPr>
        <w:t>Cosa cambia per il professionista e per il manager</w:t>
      </w:r>
    </w:p>
    <w:p>
      <w:pPr>
        <w:spacing w:after="160" w:before="0" w:line="320" w:lineRule="exact"/>
        <w:jc w:val="both"/>
      </w:pPr>
      <w:r>
        <w:rPr>
          <w:rFonts w:ascii="Calibri" w:hAnsi="Calibri"/>
          <w:i w:val="0"/>
          <w:sz w:val="22"/>
        </w:rPr>
        <w:t>L’arrivo degli agenti AI non elimina il lavoro umano: lo ridistribuisce. Le attività ripetitive, a basso valore aggiunto e alta prevedibilità vengono assorbite dagli agenti. Le attività che richiedono giudizio, relazione, creatività e responsabilità restano saldamente nelle mani delle persone. Il rischio non è la sostituzione, ma la marginalizzazione di chi non impara a lavorare con questi sistemi. Il professionista che sa definire obiettivi chiari per un agente AI, verificarne l’output e integrarne il lavoro nel proprio processo diventa esponenzialmente più produttivo di chi ancora affronta ogni task manualmente.</w:t>
      </w:r>
    </w:p>
    <w:p>
      <w:pPr>
        <w:spacing w:after="160" w:before="0" w:line="320" w:lineRule="exact"/>
        <w:jc w:val="both"/>
      </w:pPr>
      <w:r>
        <w:rPr>
          <w:rFonts w:ascii="Calibri" w:hAnsi="Calibri"/>
          <w:i w:val="0"/>
          <w:sz w:val="22"/>
        </w:rPr>
        <w:t>Per i manager, la sfida è di governance. Introdurre un agente AI in azienda significa decidere quali processi automatizzare, con quali vincoli, con quale livello di supervisione e con quale piano di fallback quando il sistema commette errori. Significa anche formare il personale a convivere con un sistema che agisce, non solo suggerisce. Le aziende che stanno gestendo meglio questa transizione sono quelle che hanno iniziato con piloti circoscritti, misurato i risultati con metriche chiare e allargato progressivamente il perimetro di autonomia solo dove i dati giustificavano la fiducia.</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Istat — Indagine sull’adozione dell’AI nelle imprese italiane, Q1 2026</w:t>
      </w:r>
    </w:p>
    <w:p>
      <w:pPr>
        <w:spacing w:after="40"/>
      </w:pPr>
      <w:r>
        <w:rPr>
          <w:rFonts w:ascii="Calibri" w:hAnsi="Calibri"/>
          <w:color w:val="606060"/>
          <w:sz w:val="17"/>
        </w:rPr>
        <w:t>• Corriere Nazionale — La nuova era dell’efficienza: come l’AI agentica sta trasformando il lavoro e l’impresa in Italia nel 2026 (16 aprile 2026)</w:t>
      </w:r>
    </w:p>
    <w:p>
      <w:pPr>
        <w:spacing w:after="40"/>
      </w:pPr>
      <w:r>
        <w:rPr>
          <w:rFonts w:ascii="Calibri" w:hAnsi="Calibri"/>
          <w:color w:val="606060"/>
          <w:sz w:val="17"/>
        </w:rPr>
        <w:t>• Kinetikon — Agenti IA nelle PMI italiane: adozione e casi d’uso (2026)</w:t>
      </w:r>
    </w:p>
    <w:p>
      <w:pPr>
        <w:spacing w:after="40"/>
      </w:pPr>
      <w:r>
        <w:rPr>
          <w:rFonts w:ascii="Calibri" w:hAnsi="Calibri"/>
          <w:color w:val="606060"/>
          <w:sz w:val="17"/>
        </w:rPr>
        <w:t>• AI4Business — AI 2026: l’anno dell’adozione sistemica e delle scelte irreversibili nelle aziende</w:t>
      </w:r>
    </w:p>
    <w:p>
      <w:pPr>
        <w:spacing w:after="40"/>
      </w:pPr>
      <w:r>
        <w:rPr>
          <w:rFonts w:ascii="Calibri" w:hAnsi="Calibri"/>
          <w:color w:val="606060"/>
          <w:sz w:val="17"/>
        </w:rPr>
        <w:t>• Alessandria Today — 2026: il passaggio dall’intelligenza artificiale conversazionale agli agenti autonomi (gennaio 2026)</w:t>
      </w:r>
    </w:p>
    <w:p>
      <w:pPr>
        <w:spacing w:after="40"/>
      </w:pPr>
      <w:r>
        <w:rPr>
          <w:rFonts w:ascii="Calibri" w:hAnsi="Calibri"/>
          <w:color w:val="606060"/>
          <w:sz w:val="17"/>
        </w:rPr>
        <w:t>• Security Open Lab — Agenti AI e nuove regolamentazioni: il quadro normativo italiano ed europeo 2026 per le imprese</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